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FF0000"/>
          <w:sz w:val="44"/>
          <w:szCs w:val="44"/>
        </w:rPr>
        <w:t>科技运维中心现场技术服务项目（请修改）</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1.3维护服务要求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bookmarkStart w:id="1" w:name="_GoBack"/>
            <w:r>
              <w:rPr>
                <w:rFonts w:hint="eastAsia" w:ascii="仿宋" w:hAnsi="仿宋" w:eastAsia="仿宋" w:cs="仿宋"/>
                <w:b/>
                <w:bCs/>
                <w:i w:val="0"/>
                <w:iCs w:val="0"/>
                <w:color w:val="000000"/>
                <w:kern w:val="0"/>
                <w:sz w:val="28"/>
                <w:szCs w:val="28"/>
                <w:u w:val="none"/>
                <w:lang w:val="en-US" w:eastAsia="zh-CN" w:bidi="ar"/>
              </w:rPr>
              <w:t>兴业银行机构名称</w:t>
            </w:r>
            <w:bookmarkEnd w:id="1"/>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WWO_wpscloud_20240407062010-605e0a368e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Administrator</cp:lastModifiedBy>
  <dcterms:modified xsi:type="dcterms:W3CDTF">2024-06-27T10:10:51Z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