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《兴业银行长沙分行关于</w:t>
      </w:r>
      <w:r>
        <w:rPr>
          <w:rFonts w:hint="eastAsia" w:asciiTheme="majorEastAsia" w:hAnsiTheme="majorEastAsia" w:eastAsiaTheme="majorEastAsia" w:cstheme="majorEastAsia"/>
          <w:b/>
          <w:bCs/>
          <w:sz w:val="44"/>
          <w:szCs w:val="44"/>
          <w:lang w:eastAsia="zh-Hans"/>
        </w:rPr>
        <w:t>优秀员工</w:t>
      </w:r>
      <w:r>
        <w:rPr>
          <w:rFonts w:hint="eastAsia" w:asciiTheme="majorEastAsia" w:hAnsiTheme="majorEastAsia" w:eastAsiaTheme="majorEastAsia" w:cstheme="majorEastAsia"/>
          <w:b/>
          <w:bCs/>
          <w:sz w:val="44"/>
          <w:szCs w:val="44"/>
          <w:lang w:val="en-US" w:eastAsia="zh-CN"/>
        </w:rPr>
        <w:t>及中层干部开展“</w:t>
      </w:r>
      <w:r>
        <w:rPr>
          <w:rFonts w:hint="eastAsia" w:asciiTheme="majorEastAsia" w:hAnsiTheme="majorEastAsia" w:eastAsiaTheme="majorEastAsia" w:cstheme="majorEastAsia"/>
          <w:b/>
          <w:bCs/>
          <w:sz w:val="44"/>
          <w:szCs w:val="44"/>
          <w:lang w:eastAsia="zh-Hans"/>
        </w:rPr>
        <w:t>传承百年金融志</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Hans"/>
        </w:rPr>
        <w:t>夯实兴业发展基</w:t>
      </w:r>
      <w:r>
        <w:rPr>
          <w:rFonts w:hint="eastAsia" w:asciiTheme="majorEastAsia" w:hAnsiTheme="majorEastAsia" w:eastAsiaTheme="majorEastAsia" w:cstheme="majorEastAsia"/>
          <w:b/>
          <w:bCs/>
          <w:sz w:val="44"/>
          <w:szCs w:val="44"/>
          <w:lang w:val="en-US" w:eastAsia="zh-CN"/>
        </w:rPr>
        <w:t>”专题</w:t>
      </w:r>
      <w:r>
        <w:rPr>
          <w:rFonts w:hint="eastAsia" w:asciiTheme="majorEastAsia" w:hAnsiTheme="majorEastAsia" w:eastAsiaTheme="majorEastAsia" w:cstheme="majorEastAsia"/>
          <w:b/>
          <w:bCs/>
          <w:sz w:val="44"/>
          <w:szCs w:val="44"/>
          <w:lang w:eastAsia="zh-Hans"/>
        </w:rPr>
        <w:t>研修项目</w:t>
      </w:r>
      <w:r>
        <w:rPr>
          <w:rFonts w:hint="eastAsia" w:asciiTheme="majorEastAsia" w:hAnsiTheme="majorEastAsia" w:eastAsiaTheme="majorEastAsia" w:cstheme="majorEastAsia"/>
          <w:b/>
          <w:bCs/>
          <w:sz w:val="44"/>
          <w:szCs w:val="44"/>
        </w:rPr>
        <w:t>供应商》供应商征集反馈材料-公司名称（全称）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10"/>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4"/>
                <w:szCs w:val="24"/>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4"/>
                <w:szCs w:val="24"/>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4"/>
                <w:szCs w:val="24"/>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4"/>
                <w:szCs w:val="24"/>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4"/>
                <w:szCs w:val="24"/>
              </w:rPr>
              <w:t>1.1采购需求</w:t>
            </w:r>
          </w:p>
        </w:tc>
        <w:tc>
          <w:tcPr>
            <w:tcW w:w="2378" w:type="dxa"/>
            <w:vAlign w:val="center"/>
          </w:tcPr>
          <w:p>
            <w:pPr>
              <w:ind w:left="0" w:leftChars="0" w:firstLine="0" w:firstLineChars="0"/>
              <w:jc w:val="center"/>
              <w:rPr>
                <w:rFonts w:hint="eastAsia" w:ascii="仿宋" w:hAnsi="仿宋" w:eastAsia="仿宋" w:cs="仿宋"/>
                <w:sz w:val="28"/>
                <w:szCs w:val="28"/>
              </w:rPr>
            </w:pPr>
          </w:p>
        </w:tc>
        <w:tc>
          <w:tcPr>
            <w:tcW w:w="4819" w:type="dxa"/>
            <w:vAlign w:val="center"/>
          </w:tcPr>
          <w:p>
            <w:pPr>
              <w:ind w:left="0" w:leftChars="0" w:firstLine="0" w:firstLineChars="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4"/>
                <w:szCs w:val="24"/>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6" w:type="dxa"/>
            <w:vAlign w:val="center"/>
          </w:tcPr>
          <w:p>
            <w:pPr>
              <w:ind w:left="0" w:leftChars="0" w:firstLine="0" w:firstLineChars="0"/>
              <w:rPr>
                <w:rFonts w:hint="default" w:ascii="仿宋" w:hAnsi="仿宋" w:eastAsia="仿宋" w:cs="仿宋"/>
                <w:b/>
                <w:bCs/>
                <w:kern w:val="2"/>
                <w:sz w:val="28"/>
                <w:szCs w:val="28"/>
                <w:lang w:val="en-US" w:eastAsia="zh-CN" w:bidi="ar-SA"/>
                <w14:ligatures w14:val="none"/>
              </w:rPr>
            </w:pPr>
            <w:r>
              <w:rPr>
                <w:rFonts w:hint="eastAsia" w:ascii="仿宋" w:hAnsi="仿宋" w:eastAsia="仿宋" w:cs="仿宋"/>
                <w:sz w:val="24"/>
                <w:szCs w:val="24"/>
              </w:rPr>
              <w:t>1.2.1</w:t>
            </w:r>
          </w:p>
        </w:tc>
        <w:tc>
          <w:tcPr>
            <w:tcW w:w="2378" w:type="dxa"/>
            <w:vAlign w:val="center"/>
          </w:tcPr>
          <w:p>
            <w:pPr>
              <w:ind w:left="0" w:leftChars="0" w:firstLine="0" w:firstLineChars="0"/>
              <w:jc w:val="center"/>
              <w:rPr>
                <w:rFonts w:hint="eastAsia" w:ascii="仿宋" w:hAnsi="仿宋" w:eastAsia="仿宋" w:cs="仿宋"/>
                <w:sz w:val="28"/>
                <w:szCs w:val="28"/>
              </w:rPr>
            </w:pPr>
          </w:p>
        </w:tc>
        <w:tc>
          <w:tcPr>
            <w:tcW w:w="4819" w:type="dxa"/>
            <w:vAlign w:val="center"/>
          </w:tcPr>
          <w:p>
            <w:pPr>
              <w:ind w:left="0" w:leftChars="0" w:firstLine="0" w:firstLineChars="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6" w:type="dxa"/>
            <w:vAlign w:val="center"/>
          </w:tcPr>
          <w:p>
            <w:pPr>
              <w:ind w:left="0" w:leftChars="0" w:firstLine="0" w:firstLineChars="0"/>
              <w:rPr>
                <w:rFonts w:hint="eastAsia" w:ascii="仿宋" w:hAnsi="仿宋" w:eastAsia="仿宋" w:cs="仿宋"/>
                <w:b/>
                <w:bCs/>
                <w:kern w:val="2"/>
                <w:sz w:val="28"/>
                <w:szCs w:val="28"/>
                <w:lang w:val="en-US" w:eastAsia="zh-CN" w:bidi="ar-SA"/>
                <w14:ligatures w14:val="none"/>
              </w:rPr>
            </w:pPr>
            <w:r>
              <w:rPr>
                <w:rFonts w:hint="eastAsia" w:ascii="仿宋" w:hAnsi="仿宋" w:eastAsia="仿宋" w:cs="仿宋"/>
                <w:sz w:val="24"/>
                <w:szCs w:val="24"/>
              </w:rPr>
              <w:t>1.2.2</w:t>
            </w:r>
          </w:p>
        </w:tc>
        <w:tc>
          <w:tcPr>
            <w:tcW w:w="2378" w:type="dxa"/>
            <w:vAlign w:val="center"/>
          </w:tcPr>
          <w:p>
            <w:pPr>
              <w:ind w:left="0" w:leftChars="0" w:firstLine="0" w:firstLineChars="0"/>
              <w:jc w:val="cente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6" w:type="dxa"/>
            <w:vAlign w:val="center"/>
          </w:tcPr>
          <w:p>
            <w:pPr>
              <w:ind w:left="0" w:leftChars="0" w:firstLine="0" w:firstLineChars="0"/>
              <w:rPr>
                <w:rFonts w:hint="eastAsia" w:ascii="仿宋" w:hAnsi="仿宋" w:eastAsia="仿宋" w:cs="仿宋"/>
                <w:b/>
                <w:bCs/>
                <w:kern w:val="2"/>
                <w:sz w:val="28"/>
                <w:szCs w:val="28"/>
                <w:lang w:val="en-US" w:eastAsia="zh-CN" w:bidi="ar-SA"/>
                <w14:ligatures w14:val="none"/>
              </w:rPr>
            </w:pPr>
            <w:r>
              <w:rPr>
                <w:rFonts w:hint="eastAsia" w:ascii="仿宋" w:hAnsi="仿宋" w:eastAsia="仿宋" w:cs="仿宋"/>
                <w:sz w:val="24"/>
                <w:szCs w:val="24"/>
              </w:rPr>
              <w:t>1.2.3</w:t>
            </w:r>
          </w:p>
        </w:tc>
        <w:tc>
          <w:tcPr>
            <w:tcW w:w="2378" w:type="dxa"/>
            <w:vAlign w:val="center"/>
          </w:tcPr>
          <w:p>
            <w:pPr>
              <w:ind w:left="0" w:leftChars="0" w:firstLine="0" w:firstLineChars="0"/>
              <w:jc w:val="cente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pPr>
            <w:r>
              <w:rPr>
                <w:rFonts w:hint="eastAsia" w:ascii="仿宋" w:hAnsi="仿宋" w:eastAsia="仿宋" w:cs="仿宋"/>
                <w:b/>
                <w:bCs/>
                <w:sz w:val="24"/>
                <w:szCs w:val="24"/>
              </w:rPr>
              <w:t>1.3服务要求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1.3.1</w:t>
            </w:r>
          </w:p>
        </w:tc>
        <w:tc>
          <w:tcPr>
            <w:tcW w:w="2378" w:type="dxa"/>
            <w:vAlign w:val="center"/>
          </w:tcPr>
          <w:p>
            <w:pPr>
              <w:ind w:left="0" w:leftChars="0" w:firstLine="0" w:firstLineChars="0"/>
              <w:jc w:val="center"/>
            </w:pPr>
          </w:p>
        </w:tc>
        <w:tc>
          <w:tcPr>
            <w:tcW w:w="4819" w:type="dxa"/>
            <w:vAlign w:val="center"/>
          </w:tcPr>
          <w:p>
            <w:pP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1.3.2</w:t>
            </w:r>
          </w:p>
        </w:tc>
        <w:tc>
          <w:tcPr>
            <w:tcW w:w="2378" w:type="dxa"/>
            <w:vAlign w:val="center"/>
          </w:tcPr>
          <w:p>
            <w:pPr>
              <w:ind w:left="0" w:leftChars="0" w:firstLine="0" w:firstLineChars="0"/>
              <w:jc w:val="center"/>
            </w:pPr>
          </w:p>
        </w:tc>
        <w:tc>
          <w:tcPr>
            <w:tcW w:w="4819" w:type="dxa"/>
            <w:vAlign w:val="center"/>
          </w:tcPr>
          <w:p>
            <w:pP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1.3.3</w:t>
            </w:r>
          </w:p>
        </w:tc>
        <w:tc>
          <w:tcPr>
            <w:tcW w:w="2378" w:type="dxa"/>
            <w:vAlign w:val="center"/>
          </w:tcPr>
          <w:p>
            <w:pPr>
              <w:ind w:left="0" w:leftChars="0" w:firstLine="0" w:firstLineChars="0"/>
              <w:jc w:val="center"/>
            </w:pPr>
          </w:p>
        </w:tc>
        <w:tc>
          <w:tcPr>
            <w:tcW w:w="4819" w:type="dxa"/>
            <w:vAlign w:val="center"/>
          </w:tcPr>
          <w:p>
            <w:pP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4"/>
                <w:szCs w:val="24"/>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sz w:val="24"/>
                <w:szCs w:val="24"/>
              </w:rPr>
              <w:t>1.4.1</w:t>
            </w:r>
          </w:p>
        </w:tc>
        <w:tc>
          <w:tcPr>
            <w:tcW w:w="2378" w:type="dxa"/>
            <w:vAlign w:val="center"/>
          </w:tcPr>
          <w:p>
            <w:pPr>
              <w:ind w:left="0" w:leftChars="0" w:firstLine="0" w:firstLineChars="0"/>
              <w:jc w:val="cente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sz w:val="24"/>
                <w:szCs w:val="24"/>
              </w:rPr>
              <w:t>1.4.2</w:t>
            </w:r>
          </w:p>
        </w:tc>
        <w:tc>
          <w:tcPr>
            <w:tcW w:w="2378" w:type="dxa"/>
            <w:vAlign w:val="center"/>
          </w:tcPr>
          <w:p>
            <w:pPr>
              <w:ind w:left="0" w:leftChars="0" w:firstLine="0" w:firstLineChars="0"/>
              <w:jc w:val="cente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4"/>
                <w:szCs w:val="24"/>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4"/>
                <w:szCs w:val="24"/>
              </w:rPr>
              <w:t>2.1</w:t>
            </w:r>
          </w:p>
        </w:tc>
        <w:tc>
          <w:tcPr>
            <w:tcW w:w="2378" w:type="dxa"/>
            <w:vAlign w:val="center"/>
          </w:tcPr>
          <w:p>
            <w:pPr>
              <w:ind w:left="0" w:leftChars="0" w:firstLine="0" w:firstLineChars="0"/>
              <w:jc w:val="cente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4"/>
                <w:szCs w:val="24"/>
              </w:rPr>
              <w:t>2.2</w:t>
            </w:r>
          </w:p>
        </w:tc>
        <w:tc>
          <w:tcPr>
            <w:tcW w:w="2378" w:type="dxa"/>
            <w:vAlign w:val="center"/>
          </w:tcPr>
          <w:p>
            <w:pPr>
              <w:ind w:left="0" w:leftChars="0" w:firstLine="0" w:firstLineChars="0"/>
              <w:jc w:val="cente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4"/>
                <w:szCs w:val="24"/>
              </w:rPr>
              <w:t>2.3</w:t>
            </w:r>
          </w:p>
        </w:tc>
        <w:tc>
          <w:tcPr>
            <w:tcW w:w="2378" w:type="dxa"/>
            <w:vAlign w:val="center"/>
          </w:tcPr>
          <w:p>
            <w:pPr>
              <w:ind w:left="0" w:leftChars="0" w:firstLine="0" w:firstLineChars="0"/>
              <w:jc w:val="cente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4"/>
                <w:szCs w:val="24"/>
              </w:rPr>
              <w:t>2.4</w:t>
            </w:r>
          </w:p>
        </w:tc>
        <w:tc>
          <w:tcPr>
            <w:tcW w:w="2378" w:type="dxa"/>
            <w:vAlign w:val="center"/>
          </w:tcPr>
          <w:p>
            <w:pPr>
              <w:ind w:left="0" w:leftChars="0" w:firstLine="0" w:firstLineChars="0"/>
              <w:jc w:val="center"/>
            </w:pPr>
          </w:p>
        </w:tc>
        <w:tc>
          <w:tcPr>
            <w:tcW w:w="4819" w:type="dxa"/>
            <w:vAlign w:val="center"/>
          </w:tcPr>
          <w:p>
            <w:pPr>
              <w:ind w:left="0" w:leftChars="0" w:firstLine="0" w:firstLineChars="0"/>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10"/>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w:t>
      </w:r>
      <w:r>
        <w:rPr>
          <w:rFonts w:hint="eastAsia" w:ascii="仿宋" w:hAnsi="仿宋" w:eastAsia="仿宋" w:cs="仿宋"/>
          <w:b/>
          <w:bCs/>
          <w:color w:val="FF0000"/>
          <w:sz w:val="28"/>
          <w:szCs w:val="28"/>
          <w:lang w:val="en-US" w:eastAsia="zh-CN"/>
        </w:rPr>
        <w:t>2年至今</w:t>
      </w:r>
      <w:r>
        <w:rPr>
          <w:rFonts w:hint="eastAsia" w:ascii="仿宋" w:hAnsi="仿宋" w:eastAsia="仿宋" w:cs="仿宋"/>
          <w:b/>
          <w:bCs/>
          <w:color w:val="FF0000"/>
          <w:sz w:val="28"/>
          <w:szCs w:val="28"/>
        </w:rPr>
        <w:t>开展的</w:t>
      </w:r>
      <w:r>
        <w:rPr>
          <w:rFonts w:hint="eastAsia" w:ascii="仿宋" w:hAnsi="仿宋" w:eastAsia="仿宋" w:cs="仿宋"/>
          <w:b/>
          <w:bCs/>
          <w:color w:val="FF0000"/>
          <w:sz w:val="28"/>
          <w:szCs w:val="28"/>
          <w:lang w:val="en-US" w:eastAsia="zh-CN"/>
        </w:rPr>
        <w:t>中基层内部研学</w:t>
      </w:r>
      <w:bookmarkStart w:id="1" w:name="_GoBack"/>
      <w:bookmarkEnd w:id="1"/>
      <w:r>
        <w:rPr>
          <w:rFonts w:hint="eastAsia" w:ascii="仿宋" w:hAnsi="仿宋" w:eastAsia="仿宋" w:cs="仿宋"/>
          <w:b/>
          <w:bCs/>
          <w:color w:val="FF0000"/>
          <w:sz w:val="28"/>
          <w:szCs w:val="28"/>
        </w:rPr>
        <w:t>项目</w:t>
      </w:r>
      <w:r>
        <w:rPr>
          <w:rFonts w:hint="eastAsia" w:ascii="仿宋" w:hAnsi="仿宋" w:eastAsia="仿宋" w:cs="仿宋"/>
          <w:b/>
          <w:bCs/>
          <w:sz w:val="28"/>
          <w:szCs w:val="28"/>
        </w:rPr>
        <w:t>》相关案例情况：</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3"/>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9"/>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62071"/>
    <w:rsid w:val="1E190044"/>
    <w:rsid w:val="1F6123DF"/>
    <w:rsid w:val="24BE1FAE"/>
    <w:rsid w:val="27146BB8"/>
    <w:rsid w:val="28A72035"/>
    <w:rsid w:val="3FB90D14"/>
    <w:rsid w:val="40F03CC3"/>
    <w:rsid w:val="4A454C3E"/>
    <w:rsid w:val="69295A8E"/>
    <w:rsid w:val="7B901FB7"/>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cib</cp:lastModifiedBy>
  <dcterms:modified xsi:type="dcterms:W3CDTF">2025-03-31T03:22:40Z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4D772375A24C44288D29E469D703E8DE</vt:lpwstr>
  </property>
</Properties>
</file>