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仿宋_GB2312" w:hAnsi="仿宋_GB2312" w:eastAsia="仿宋_GB2312" w:cs="仿宋_GB2312"/>
          <w:b/>
          <w:bCs/>
          <w:sz w:val="32"/>
          <w:szCs w:val="32"/>
          <w:highlight w:val="none"/>
          <w:lang w:val="en-US" w:eastAsia="zh-CN"/>
        </w:rPr>
      </w:pPr>
      <w:bookmarkStart w:id="0" w:name="_Toc24763"/>
      <w:r>
        <w:rPr>
          <w:rFonts w:hint="eastAsia" w:ascii="仿宋_GB2312" w:hAnsi="仿宋_GB2312" w:eastAsia="仿宋_GB2312" w:cs="仿宋_GB2312"/>
          <w:b/>
          <w:bCs/>
          <w:sz w:val="32"/>
          <w:szCs w:val="32"/>
          <w:highlight w:val="none"/>
          <w:lang w:eastAsia="zh-CN"/>
        </w:rPr>
        <w:t>附件</w:t>
      </w:r>
      <w:r>
        <w:rPr>
          <w:rFonts w:hint="eastAsia" w:ascii="仿宋_GB2312" w:hAnsi="仿宋_GB2312" w:eastAsia="仿宋_GB2312" w:cs="仿宋_GB2312"/>
          <w:b/>
          <w:bCs/>
          <w:sz w:val="32"/>
          <w:szCs w:val="32"/>
          <w:highlight w:val="none"/>
          <w:lang w:val="en-US" w:eastAsia="zh-CN"/>
        </w:rPr>
        <w:t>2</w:t>
      </w:r>
    </w:p>
    <w:p>
      <w:pPr>
        <w:jc w:val="center"/>
        <w:outlineLvl w:val="0"/>
        <w:rPr>
          <w:rFonts w:ascii="Times New Roman" w:hAnsi="Times New Roman" w:eastAsia="宋体" w:cs="Times New Roman"/>
          <w:b/>
          <w:bCs/>
          <w:sz w:val="32"/>
          <w:szCs w:val="32"/>
          <w:highlight w:val="none"/>
        </w:rPr>
      </w:pPr>
      <w:r>
        <w:rPr>
          <w:rFonts w:hint="eastAsia" w:eastAsia="宋体"/>
          <w:b/>
          <w:bCs/>
          <w:szCs w:val="32"/>
          <w:highlight w:val="none"/>
          <w:lang w:eastAsia="zh-CN"/>
        </w:rPr>
        <w:t>《</w:t>
      </w:r>
      <w:r>
        <w:rPr>
          <w:rFonts w:hint="eastAsia" w:eastAsia="宋体"/>
          <w:b/>
          <w:bCs/>
          <w:szCs w:val="32"/>
          <w:highlight w:val="none"/>
        </w:rPr>
        <w:t>湖南省招标代理机构及从业人员监督管理办法</w:t>
      </w:r>
      <w:r>
        <w:rPr>
          <w:rFonts w:hint="eastAsia" w:eastAsia="宋体"/>
          <w:b/>
          <w:bCs/>
          <w:szCs w:val="32"/>
          <w:highlight w:val="none"/>
          <w:lang w:eastAsia="zh-CN"/>
        </w:rPr>
        <w:t>》</w:t>
      </w:r>
      <w:r>
        <w:rPr>
          <w:rFonts w:hint="eastAsia" w:eastAsia="宋体"/>
          <w:b/>
          <w:bCs/>
          <w:szCs w:val="32"/>
          <w:highlight w:val="none"/>
        </w:rPr>
        <w:t>修订</w:t>
      </w:r>
      <w:r>
        <w:rPr>
          <w:rFonts w:ascii="Times New Roman" w:hAnsi="Times New Roman" w:eastAsia="宋体" w:cs="Times New Roman"/>
          <w:b/>
          <w:bCs/>
          <w:sz w:val="32"/>
          <w:szCs w:val="32"/>
          <w:highlight w:val="none"/>
        </w:rPr>
        <w:t>对照表</w:t>
      </w:r>
      <w:bookmarkEnd w:id="0"/>
    </w:p>
    <w:tbl>
      <w:tblPr>
        <w:tblStyle w:val="6"/>
        <w:tblW w:w="13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2"/>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142" w:type="dxa"/>
            <w:noWrap w:val="0"/>
            <w:vAlign w:val="top"/>
          </w:tcPr>
          <w:p>
            <w:pPr>
              <w:tabs>
                <w:tab w:val="left" w:pos="764"/>
              </w:tabs>
              <w:spacing w:beforeLines="0" w:afterLines="0" w:line="240" w:lineRule="auto"/>
              <w:ind w:firstLine="420" w:firstLineChars="200"/>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原条文</w:t>
            </w:r>
          </w:p>
        </w:tc>
        <w:tc>
          <w:tcPr>
            <w:tcW w:w="7279" w:type="dxa"/>
            <w:noWrap w:val="0"/>
            <w:vAlign w:val="top"/>
          </w:tcPr>
          <w:p>
            <w:pPr>
              <w:spacing w:beforeLines="0" w:afterLines="0" w:line="240" w:lineRule="auto"/>
              <w:ind w:firstLine="420" w:firstLineChars="200"/>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修订条文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422" w:firstLineChars="200"/>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rPr>
              <w:t xml:space="preserve">第二条 </w:t>
            </w:r>
            <w:r>
              <w:rPr>
                <w:rFonts w:hint="eastAsia" w:ascii="宋体" w:hAnsi="宋体" w:eastAsia="宋体" w:cs="宋体"/>
                <w:b w:val="0"/>
                <w:bCs w:val="0"/>
                <w:color w:val="000000"/>
                <w:sz w:val="21"/>
                <w:szCs w:val="21"/>
                <w:highlight w:val="none"/>
              </w:rPr>
              <w:t xml:space="preserve"> 招标代理机构是依法设立、从事招标代理业务并提供相关服务的社会中介组织。招标代理机构与行政机关、其他国家机关、政府设立或指定的招投标交易服务机构不得存在隶属关系或其他利益关系。</w:t>
            </w:r>
          </w:p>
        </w:tc>
        <w:tc>
          <w:tcPr>
            <w:tcW w:w="7279" w:type="dxa"/>
            <w:noWrap w:val="0"/>
            <w:vAlign w:val="top"/>
          </w:tcPr>
          <w:p>
            <w:pPr>
              <w:adjustRightInd w:val="0"/>
              <w:snapToGrid w:val="0"/>
              <w:spacing w:beforeLines="0" w:afterLines="0" w:line="240" w:lineRule="auto"/>
              <w:ind w:firstLine="422" w:firstLineChars="200"/>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 xml:space="preserve">第二条  </w:t>
            </w:r>
            <w:r>
              <w:rPr>
                <w:rFonts w:hint="eastAsia" w:ascii="宋体" w:hAnsi="宋体" w:eastAsia="宋体" w:cs="宋体"/>
                <w:b w:val="0"/>
                <w:bCs w:val="0"/>
                <w:color w:val="000000"/>
                <w:sz w:val="21"/>
                <w:szCs w:val="21"/>
                <w:highlight w:val="none"/>
              </w:rPr>
              <w:t>招标代理机构是依法设立、从事招标代理业务并提供相关服务的社会中介组织。招标代理机构与行政机关、其他国家机关、政府设立或指定的招投标交易服务机构不得存在隶属关系或其他利益关系。</w:t>
            </w:r>
          </w:p>
          <w:p>
            <w:pPr>
              <w:pStyle w:val="9"/>
              <w:numPr>
                <w:ilvl w:val="0"/>
                <w:numId w:val="0"/>
              </w:numPr>
              <w:spacing w:beforeLines="0" w:afterLines="0" w:line="240" w:lineRule="auto"/>
              <w:ind w:firstLine="422" w:firstLineChars="200"/>
              <w:rPr>
                <w:rFonts w:hint="eastAsia" w:ascii="宋体" w:hAnsi="宋体" w:eastAsia="宋体" w:cs="宋体"/>
                <w:color w:val="000000"/>
                <w:sz w:val="21"/>
                <w:szCs w:val="21"/>
                <w:highlight w:val="none"/>
                <w:lang w:eastAsia="zh-CN"/>
              </w:rPr>
            </w:pPr>
            <w:r>
              <w:rPr>
                <w:rFonts w:hint="eastAsia" w:ascii="宋体" w:hAnsi="宋体" w:eastAsia="宋体" w:cs="宋体"/>
                <w:b/>
                <w:bCs/>
                <w:color w:val="000000"/>
                <w:sz w:val="21"/>
                <w:szCs w:val="21"/>
                <w:highlight w:val="none"/>
              </w:rPr>
              <w:t>从业人员是招标代理机构中专职从事招标代理业务的人员，包括项目负责人和</w:t>
            </w:r>
            <w:r>
              <w:rPr>
                <w:rFonts w:hint="eastAsia" w:ascii="宋体" w:hAnsi="宋体" w:eastAsia="宋体" w:cs="宋体"/>
                <w:b/>
                <w:bCs/>
                <w:color w:val="000000"/>
                <w:sz w:val="21"/>
                <w:szCs w:val="21"/>
                <w:highlight w:val="none"/>
                <w:lang w:eastAsia="zh-CN"/>
              </w:rPr>
              <w:t>其他</w:t>
            </w:r>
            <w:r>
              <w:rPr>
                <w:rFonts w:hint="eastAsia" w:ascii="宋体" w:hAnsi="宋体" w:eastAsia="宋体" w:cs="宋体"/>
                <w:b/>
                <w:bCs/>
                <w:color w:val="000000"/>
                <w:sz w:val="21"/>
                <w:szCs w:val="21"/>
                <w:highlight w:val="none"/>
              </w:rPr>
              <w:t>专职从业人员。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422"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第五条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color w:val="000000"/>
                <w:sz w:val="21"/>
                <w:szCs w:val="21"/>
                <w:highlight w:val="none"/>
              </w:rPr>
              <w:t>省住房和城乡建设厅、省交通运输厅、省水利厅等行政监督部门根据职责分工，负责本行业和领域建设项目招标代理活动的监督管理。</w:t>
            </w:r>
          </w:p>
        </w:tc>
        <w:tc>
          <w:tcPr>
            <w:tcW w:w="7279" w:type="dxa"/>
            <w:noWrap w:val="0"/>
            <w:vAlign w:val="top"/>
          </w:tcPr>
          <w:p>
            <w:pPr>
              <w:pStyle w:val="9"/>
              <w:numPr>
                <w:ilvl w:val="0"/>
                <w:numId w:val="0"/>
              </w:numPr>
              <w:spacing w:beforeLines="0" w:afterLines="0" w:line="240" w:lineRule="auto"/>
              <w:ind w:firstLine="420" w:firstLineChars="200"/>
              <w:rPr>
                <w:rFonts w:hint="eastAsia" w:ascii="宋体" w:hAnsi="宋体" w:eastAsia="宋体" w:cs="宋体"/>
                <w:bCs/>
                <w:iCs/>
                <w:color w:val="000000"/>
                <w:sz w:val="21"/>
                <w:szCs w:val="21"/>
                <w:highlight w:val="none"/>
              </w:rPr>
            </w:pPr>
            <w:r>
              <w:rPr>
                <w:rFonts w:hint="eastAsia" w:ascii="宋体" w:hAnsi="宋体" w:eastAsia="宋体" w:cs="宋体"/>
                <w:color w:val="000000"/>
                <w:sz w:val="21"/>
                <w:szCs w:val="21"/>
                <w:highlight w:val="none"/>
                <w:lang w:eastAsia="zh-CN"/>
              </w:rPr>
              <w:t>第五条</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省住房和城乡建设厅、省交通运输厅、省水利厅</w:t>
            </w:r>
            <w:r>
              <w:rPr>
                <w:rFonts w:hint="eastAsia" w:ascii="宋体" w:hAnsi="宋体" w:eastAsia="宋体" w:cs="宋体"/>
                <w:b/>
                <w:bCs/>
                <w:color w:val="000000"/>
                <w:sz w:val="21"/>
                <w:szCs w:val="21"/>
                <w:highlight w:val="none"/>
                <w:lang w:eastAsia="zh-CN"/>
              </w:rPr>
              <w:t>、省农业农村厅、省生态环境厅</w:t>
            </w:r>
            <w:r>
              <w:rPr>
                <w:rFonts w:hint="eastAsia" w:ascii="宋体" w:hAnsi="宋体" w:eastAsia="宋体" w:cs="宋体"/>
                <w:color w:val="000000"/>
                <w:sz w:val="21"/>
                <w:szCs w:val="21"/>
                <w:highlight w:val="none"/>
              </w:rPr>
              <w:t>等行政监督部门根据职责分工，负责本行业和领域建设项目招标代理活动的监督管理。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第</w:t>
            </w:r>
            <w:r>
              <w:rPr>
                <w:rFonts w:hint="eastAsia" w:ascii="宋体" w:hAnsi="宋体" w:eastAsia="宋体" w:cs="宋体"/>
                <w:b/>
                <w:color w:val="000000"/>
                <w:sz w:val="21"/>
                <w:szCs w:val="21"/>
                <w:highlight w:val="none"/>
                <w:lang w:eastAsia="zh-CN"/>
              </w:rPr>
              <w:t>十一</w:t>
            </w:r>
            <w:r>
              <w:rPr>
                <w:rFonts w:hint="eastAsia" w:ascii="宋体" w:hAnsi="宋体" w:eastAsia="宋体" w:cs="宋体"/>
                <w:b/>
                <w:color w:val="000000"/>
                <w:sz w:val="21"/>
                <w:szCs w:val="21"/>
                <w:highlight w:val="none"/>
              </w:rPr>
              <w:t>条</w:t>
            </w:r>
            <w:r>
              <w:rPr>
                <w:rFonts w:hint="eastAsia" w:ascii="宋体" w:hAnsi="宋体" w:eastAsia="宋体" w:cs="宋体"/>
                <w:b w:val="0"/>
                <w:bCs/>
                <w:color w:val="000000"/>
                <w:sz w:val="21"/>
                <w:szCs w:val="21"/>
                <w:highlight w:val="none"/>
              </w:rPr>
              <w:t xml:space="preserve">  </w:t>
            </w:r>
            <w:r>
              <w:rPr>
                <w:rFonts w:hint="eastAsia" w:ascii="宋体" w:hAnsi="宋体" w:eastAsia="宋体" w:cs="宋体"/>
                <w:b w:val="0"/>
                <w:bCs/>
                <w:color w:val="000000"/>
                <w:sz w:val="21"/>
                <w:szCs w:val="21"/>
                <w:highlight w:val="none"/>
                <w:u w:val="single"/>
                <w:lang w:eastAsia="zh-CN"/>
              </w:rPr>
              <w:t>项目负责人和专职</w:t>
            </w:r>
            <w:r>
              <w:rPr>
                <w:rFonts w:hint="eastAsia" w:ascii="宋体" w:hAnsi="宋体" w:eastAsia="宋体" w:cs="宋体"/>
                <w:b w:val="0"/>
                <w:bCs/>
                <w:color w:val="000000"/>
                <w:sz w:val="21"/>
                <w:szCs w:val="21"/>
                <w:highlight w:val="none"/>
              </w:rPr>
              <w:t>从业人员应当与招标代理机构签订劳动合同，依法建立劳动关系，并由本单位依法缴纳社会保险。</w:t>
            </w:r>
          </w:p>
        </w:tc>
        <w:tc>
          <w:tcPr>
            <w:tcW w:w="7279" w:type="dxa"/>
            <w:noWrap w:val="0"/>
            <w:vAlign w:val="top"/>
          </w:tcPr>
          <w:p>
            <w:pPr>
              <w:adjustRightInd w:val="0"/>
              <w:snapToGrid w:val="0"/>
              <w:spacing w:line="240" w:lineRule="auto"/>
              <w:ind w:firstLine="422" w:firstLineChars="20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第</w:t>
            </w:r>
            <w:r>
              <w:rPr>
                <w:rFonts w:hint="eastAsia" w:ascii="宋体" w:hAnsi="宋体" w:eastAsia="宋体" w:cs="宋体"/>
                <w:b/>
                <w:color w:val="000000"/>
                <w:sz w:val="21"/>
                <w:szCs w:val="21"/>
                <w:highlight w:val="none"/>
                <w:lang w:eastAsia="zh-CN"/>
              </w:rPr>
              <w:t>七</w:t>
            </w:r>
            <w:r>
              <w:rPr>
                <w:rFonts w:hint="eastAsia" w:ascii="宋体" w:hAnsi="宋体" w:eastAsia="宋体" w:cs="宋体"/>
                <w:b/>
                <w:color w:val="000000"/>
                <w:sz w:val="21"/>
                <w:szCs w:val="21"/>
                <w:highlight w:val="none"/>
              </w:rPr>
              <w:t xml:space="preserve">条 </w:t>
            </w:r>
            <w:r>
              <w:rPr>
                <w:rFonts w:hint="eastAsia" w:ascii="宋体" w:hAnsi="宋体" w:eastAsia="宋体" w:cs="宋体"/>
                <w:b w:val="0"/>
                <w:bCs/>
                <w:color w:val="000000"/>
                <w:sz w:val="21"/>
                <w:szCs w:val="21"/>
                <w:highlight w:val="none"/>
              </w:rPr>
              <w:t xml:space="preserve"> 从业人员应当与招标代理机构签订劳动合同，依法建立劳动关系，并由本单位依法缴纳社会保险。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rPr>
              <w:t>第十二条</w:t>
            </w:r>
            <w:r>
              <w:rPr>
                <w:rFonts w:hint="eastAsia" w:ascii="宋体" w:hAnsi="宋体" w:eastAsia="宋体" w:cs="宋体"/>
                <w:color w:val="000000"/>
                <w:sz w:val="21"/>
                <w:szCs w:val="21"/>
                <w:highlight w:val="none"/>
              </w:rPr>
              <w:t xml:space="preserve">  项目负责人应当熟悉国家和省有关招投标的法律法规和政策规定，一般具备工程建设类执业资格或具备工程建设类或工程管理类中级以上职称。</w:t>
            </w:r>
            <w:r>
              <w:rPr>
                <w:rFonts w:hint="eastAsia" w:ascii="宋体" w:hAnsi="宋体" w:eastAsia="宋体" w:cs="宋体"/>
                <w:color w:val="000000"/>
                <w:sz w:val="21"/>
                <w:szCs w:val="21"/>
                <w:highlight w:val="none"/>
                <w:u w:val="single"/>
              </w:rPr>
              <w:t>（含原招标师职业资格）</w:t>
            </w:r>
          </w:p>
        </w:tc>
        <w:tc>
          <w:tcPr>
            <w:tcW w:w="7279" w:type="dxa"/>
            <w:noWrap w:val="0"/>
            <w:vAlign w:val="top"/>
          </w:tcPr>
          <w:p>
            <w:pPr>
              <w:pStyle w:val="9"/>
              <w:numPr>
                <w:ilvl w:val="0"/>
                <w:numId w:val="0"/>
              </w:numPr>
              <w:spacing w:beforeLines="0" w:afterLines="0" w:line="240" w:lineRule="auto"/>
              <w:ind w:firstLine="422" w:firstLineChars="20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rPr>
              <w:t>第十二条</w:t>
            </w:r>
            <w:r>
              <w:rPr>
                <w:rFonts w:hint="eastAsia" w:ascii="宋体" w:hAnsi="宋体" w:eastAsia="宋体" w:cs="宋体"/>
                <w:color w:val="000000"/>
                <w:sz w:val="21"/>
                <w:szCs w:val="21"/>
                <w:highlight w:val="none"/>
              </w:rPr>
              <w:t xml:space="preserve">  项目负责人应当熟悉国家和省有关招投标的法律法规和政策规定，一般具备工程建设类执业资格或具备工程建设类或工程管理类中级以上职称。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第十五条</w:t>
            </w:r>
            <w:r>
              <w:rPr>
                <w:rFonts w:hint="eastAsia" w:ascii="宋体" w:hAnsi="宋体" w:eastAsia="宋体" w:cs="宋体"/>
                <w:color w:val="000000"/>
                <w:sz w:val="21"/>
                <w:szCs w:val="21"/>
                <w:highlight w:val="none"/>
              </w:rPr>
              <w:t xml:space="preserve">  招标代理机构及</w:t>
            </w:r>
            <w:r>
              <w:rPr>
                <w:rFonts w:hint="eastAsia" w:ascii="宋体" w:hAnsi="宋体" w:eastAsia="宋体" w:cs="宋体"/>
                <w:color w:val="000000"/>
                <w:sz w:val="21"/>
                <w:szCs w:val="21"/>
                <w:highlight w:val="none"/>
                <w:u w:val="single"/>
              </w:rPr>
              <w:t>项目负责人、专职</w:t>
            </w:r>
            <w:r>
              <w:rPr>
                <w:rFonts w:hint="eastAsia" w:ascii="宋体" w:hAnsi="宋体" w:eastAsia="宋体" w:cs="宋体"/>
                <w:color w:val="000000"/>
                <w:sz w:val="21"/>
                <w:szCs w:val="21"/>
                <w:highlight w:val="none"/>
              </w:rPr>
              <w:t>从业人员登记信息发生变更的，应当在信息变更之日起10日内在信息管理系统中予以变更。</w:t>
            </w:r>
          </w:p>
        </w:tc>
        <w:tc>
          <w:tcPr>
            <w:tcW w:w="7279" w:type="dxa"/>
            <w:noWrap w:val="0"/>
            <w:vAlign w:val="top"/>
          </w:tcPr>
          <w:p>
            <w:pPr>
              <w:adjustRightInd w:val="0"/>
              <w:snapToGrid w:val="0"/>
              <w:spacing w:beforeLines="0" w:afterLines="0" w:line="240" w:lineRule="auto"/>
              <w:ind w:firstLine="640" w:firstLineChars="0"/>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第十五条  招标代理机构应当在每半年末更新系统中的人员社保缴纳信息。</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val="0"/>
                <w:bCs w:val="0"/>
                <w:color w:val="000000"/>
                <w:sz w:val="21"/>
                <w:szCs w:val="21"/>
                <w:highlight w:val="none"/>
              </w:rPr>
              <w:t>招标代理机构及从业人员登记信息发生变更的，招标代理机构应当在信息变更之日起10日内在信息管理系统中予以变更，</w:t>
            </w:r>
            <w:r>
              <w:rPr>
                <w:rFonts w:hint="eastAsia" w:ascii="宋体" w:hAnsi="宋体" w:eastAsia="宋体" w:cs="宋体"/>
                <w:b/>
                <w:bCs/>
                <w:color w:val="000000"/>
                <w:sz w:val="21"/>
                <w:szCs w:val="21"/>
                <w:highlight w:val="none"/>
              </w:rPr>
              <w:t>从业人员应当督促招标代理机构完成信息变更。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422" w:firstLineChars="20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 xml:space="preserve">第十六条  </w:t>
            </w:r>
            <w:r>
              <w:rPr>
                <w:rFonts w:hint="eastAsia" w:ascii="宋体" w:hAnsi="宋体" w:eastAsia="宋体" w:cs="宋体"/>
                <w:color w:val="000000"/>
                <w:sz w:val="21"/>
                <w:szCs w:val="21"/>
                <w:highlight w:val="none"/>
                <w:u w:val="single"/>
              </w:rPr>
              <w:t>省发展改革委</w:t>
            </w:r>
            <w:r>
              <w:rPr>
                <w:rFonts w:hint="eastAsia" w:ascii="宋体" w:hAnsi="宋体" w:eastAsia="宋体" w:cs="宋体"/>
                <w:color w:val="000000"/>
                <w:sz w:val="21"/>
                <w:szCs w:val="21"/>
                <w:highlight w:val="none"/>
              </w:rPr>
              <w:t>定期组织各行政监督部门对招标代理机构及项目负责人、专职从业人员登记信息进行核查。</w:t>
            </w:r>
          </w:p>
          <w:p>
            <w:pPr>
              <w:adjustRightInd w:val="0"/>
              <w:snapToGrid w:val="0"/>
              <w:spacing w:beforeLines="0" w:afterLines="0" w:line="240" w:lineRule="auto"/>
              <w:ind w:firstLine="420" w:firstLineChars="20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信息核查采用随机抽取的方式，每年不少于</w:t>
            </w:r>
            <w:r>
              <w:rPr>
                <w:rFonts w:hint="eastAsia" w:ascii="宋体" w:hAnsi="宋体" w:eastAsia="宋体" w:cs="宋体"/>
                <w:color w:val="000000"/>
                <w:sz w:val="21"/>
                <w:szCs w:val="21"/>
                <w:highlight w:val="none"/>
                <w:u w:val="single"/>
              </w:rPr>
              <w:t>2次</w:t>
            </w:r>
            <w:r>
              <w:rPr>
                <w:rFonts w:hint="eastAsia" w:ascii="宋体" w:hAnsi="宋体" w:eastAsia="宋体" w:cs="宋体"/>
                <w:color w:val="000000"/>
                <w:sz w:val="21"/>
                <w:szCs w:val="21"/>
                <w:highlight w:val="none"/>
              </w:rPr>
              <w:t>，年度核查数量不低于登记机构数量的</w:t>
            </w:r>
            <w:r>
              <w:rPr>
                <w:rFonts w:hint="eastAsia" w:ascii="宋体" w:hAnsi="宋体" w:eastAsia="宋体" w:cs="宋体"/>
                <w:color w:val="000000"/>
                <w:sz w:val="21"/>
                <w:szCs w:val="21"/>
                <w:highlight w:val="none"/>
                <w:u w:val="single"/>
              </w:rPr>
              <w:t>15%</w:t>
            </w:r>
            <w:r>
              <w:rPr>
                <w:rFonts w:hint="eastAsia" w:ascii="宋体" w:hAnsi="宋体" w:eastAsia="宋体" w:cs="宋体"/>
                <w:color w:val="000000"/>
                <w:sz w:val="21"/>
                <w:szCs w:val="21"/>
                <w:highlight w:val="none"/>
              </w:rPr>
              <w:t>。</w:t>
            </w:r>
          </w:p>
        </w:tc>
        <w:tc>
          <w:tcPr>
            <w:tcW w:w="7279" w:type="dxa"/>
            <w:noWrap w:val="0"/>
            <w:vAlign w:val="top"/>
          </w:tcPr>
          <w:p>
            <w:pPr>
              <w:adjustRightInd w:val="0"/>
              <w:snapToGrid w:val="0"/>
              <w:spacing w:beforeLines="0" w:afterLines="0" w:line="240" w:lineRule="auto"/>
              <w:ind w:firstLine="422" w:firstLineChars="20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 xml:space="preserve">第十六条  </w:t>
            </w:r>
            <w:r>
              <w:rPr>
                <w:rFonts w:hint="eastAsia" w:ascii="宋体" w:hAnsi="宋体" w:eastAsia="宋体" w:cs="宋体"/>
                <w:b/>
                <w:bCs/>
                <w:color w:val="000000"/>
                <w:sz w:val="21"/>
                <w:szCs w:val="21"/>
                <w:highlight w:val="none"/>
                <w:lang w:eastAsia="zh-CN"/>
              </w:rPr>
              <w:t>市（州）</w:t>
            </w:r>
            <w:r>
              <w:rPr>
                <w:rFonts w:hint="eastAsia" w:ascii="宋体" w:hAnsi="宋体" w:eastAsia="宋体" w:cs="宋体"/>
                <w:b/>
                <w:bCs/>
                <w:color w:val="000000"/>
                <w:sz w:val="21"/>
                <w:szCs w:val="21"/>
                <w:highlight w:val="none"/>
              </w:rPr>
              <w:t>发展改革委</w:t>
            </w:r>
            <w:r>
              <w:rPr>
                <w:rFonts w:hint="eastAsia" w:ascii="宋体" w:hAnsi="宋体" w:eastAsia="宋体" w:cs="宋体"/>
                <w:color w:val="000000"/>
                <w:sz w:val="21"/>
                <w:szCs w:val="21"/>
                <w:highlight w:val="none"/>
                <w:lang w:eastAsia="zh-CN"/>
              </w:rPr>
              <w:t>按照属地原则，</w:t>
            </w:r>
            <w:r>
              <w:rPr>
                <w:rFonts w:hint="eastAsia" w:ascii="宋体" w:hAnsi="宋体" w:eastAsia="宋体" w:cs="宋体"/>
                <w:color w:val="000000"/>
                <w:sz w:val="21"/>
                <w:szCs w:val="21"/>
                <w:highlight w:val="none"/>
              </w:rPr>
              <w:t>定期组织</w:t>
            </w:r>
            <w:r>
              <w:rPr>
                <w:rFonts w:hint="eastAsia" w:ascii="宋体" w:hAnsi="宋体" w:eastAsia="宋体" w:cs="宋体"/>
                <w:color w:val="000000"/>
                <w:sz w:val="21"/>
                <w:szCs w:val="21"/>
                <w:highlight w:val="none"/>
                <w:lang w:eastAsia="zh-CN"/>
              </w:rPr>
              <w:t>各级</w:t>
            </w:r>
            <w:r>
              <w:rPr>
                <w:rFonts w:hint="eastAsia" w:ascii="宋体" w:hAnsi="宋体" w:eastAsia="宋体" w:cs="宋体"/>
                <w:color w:val="000000"/>
                <w:sz w:val="21"/>
                <w:szCs w:val="21"/>
                <w:highlight w:val="none"/>
              </w:rPr>
              <w:t>行政监督部门对招标代理机</w:t>
            </w:r>
            <w:bookmarkStart w:id="1" w:name="_GoBack"/>
            <w:bookmarkEnd w:id="1"/>
            <w:r>
              <w:rPr>
                <w:rFonts w:hint="eastAsia" w:ascii="宋体" w:hAnsi="宋体" w:eastAsia="宋体" w:cs="宋体"/>
                <w:color w:val="000000"/>
                <w:sz w:val="21"/>
                <w:szCs w:val="21"/>
                <w:highlight w:val="none"/>
              </w:rPr>
              <w:t>构及从业人员登记信息进行核查。</w:t>
            </w:r>
          </w:p>
          <w:p>
            <w:pPr>
              <w:adjustRightInd w:val="0"/>
              <w:snapToGrid w:val="0"/>
              <w:spacing w:beforeLines="0" w:afterLines="0" w:line="240" w:lineRule="auto"/>
              <w:ind w:firstLine="640"/>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信息核查采用随机抽取的</w:t>
            </w:r>
            <w:r>
              <w:rPr>
                <w:rFonts w:hint="eastAsia" w:ascii="宋体" w:hAnsi="宋体" w:eastAsia="宋体" w:cs="宋体"/>
                <w:color w:val="000000"/>
                <w:sz w:val="21"/>
                <w:szCs w:val="21"/>
                <w:highlight w:val="none"/>
                <w:lang w:eastAsia="zh-CN"/>
              </w:rPr>
              <w:t>形式</w:t>
            </w:r>
            <w:r>
              <w:rPr>
                <w:rFonts w:hint="eastAsia" w:ascii="宋体" w:hAnsi="宋体" w:eastAsia="宋体" w:cs="宋体"/>
                <w:color w:val="000000"/>
                <w:sz w:val="21"/>
                <w:szCs w:val="21"/>
                <w:highlight w:val="none"/>
              </w:rPr>
              <w:t>，每年不少于</w:t>
            </w:r>
            <w:r>
              <w:rPr>
                <w:rFonts w:hint="eastAsia" w:ascii="宋体" w:hAnsi="宋体" w:eastAsia="宋体" w:cs="宋体"/>
                <w:b/>
                <w:bCs/>
                <w:color w:val="000000"/>
                <w:sz w:val="21"/>
                <w:szCs w:val="21"/>
                <w:highlight w:val="none"/>
                <w:lang w:val="en-US" w:eastAsia="zh-CN"/>
              </w:rPr>
              <w:t>1</w:t>
            </w:r>
            <w:r>
              <w:rPr>
                <w:rFonts w:hint="eastAsia" w:ascii="宋体" w:hAnsi="宋体" w:eastAsia="宋体" w:cs="宋体"/>
                <w:b/>
                <w:bCs/>
                <w:color w:val="000000"/>
                <w:sz w:val="21"/>
                <w:szCs w:val="21"/>
                <w:highlight w:val="none"/>
              </w:rPr>
              <w:t>次</w:t>
            </w:r>
            <w:r>
              <w:rPr>
                <w:rFonts w:hint="eastAsia" w:ascii="宋体" w:hAnsi="宋体" w:eastAsia="宋体" w:cs="宋体"/>
                <w:color w:val="000000"/>
                <w:sz w:val="21"/>
                <w:szCs w:val="21"/>
                <w:highlight w:val="none"/>
              </w:rPr>
              <w:t>，年度核查数量不低于登记机构数量的</w:t>
            </w:r>
            <w:r>
              <w:rPr>
                <w:rFonts w:hint="eastAsia" w:ascii="宋体" w:hAnsi="宋体" w:eastAsia="宋体" w:cs="宋体"/>
                <w:b/>
                <w:bCs/>
                <w:color w:val="000000"/>
                <w:sz w:val="21"/>
                <w:szCs w:val="21"/>
                <w:highlight w:val="none"/>
                <w:lang w:val="en"/>
              </w:rPr>
              <w:t>30</w:t>
            </w:r>
            <w:r>
              <w:rPr>
                <w:rFonts w:hint="eastAsia" w:ascii="宋体" w:hAnsi="宋体" w:eastAsia="宋体" w:cs="宋体"/>
                <w:b/>
                <w:bCs/>
                <w:color w:val="000000"/>
                <w:sz w:val="21"/>
                <w:szCs w:val="21"/>
                <w:highlight w:val="none"/>
              </w:rPr>
              <w:t>%</w:t>
            </w:r>
            <w:r>
              <w:rPr>
                <w:rFonts w:hint="eastAsia" w:ascii="宋体" w:hAnsi="宋体" w:eastAsia="宋体" w:cs="宋体"/>
                <w:color w:val="000000"/>
                <w:sz w:val="21"/>
                <w:szCs w:val="21"/>
                <w:highlight w:val="none"/>
              </w:rPr>
              <w:t>。</w:t>
            </w:r>
            <w:r>
              <w:rPr>
                <w:rFonts w:hint="eastAsia" w:ascii="宋体" w:hAnsi="宋体" w:eastAsia="宋体" w:cs="宋体"/>
                <w:b/>
                <w:bCs/>
                <w:color w:val="000000"/>
                <w:sz w:val="21"/>
                <w:szCs w:val="21"/>
                <w:highlight w:val="none"/>
                <w:lang w:eastAsia="zh-CN"/>
              </w:rPr>
              <w:t>信息核查优先采用不见面核查、交叉核查的方式开展。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第十八条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u w:val="single"/>
              </w:rPr>
              <w:t>省发展改革委</w:t>
            </w:r>
            <w:r>
              <w:rPr>
                <w:rFonts w:hint="eastAsia" w:ascii="宋体" w:hAnsi="宋体" w:eastAsia="宋体" w:cs="宋体"/>
                <w:color w:val="000000"/>
                <w:sz w:val="21"/>
                <w:szCs w:val="21"/>
                <w:highlight w:val="none"/>
              </w:rPr>
              <w:t>将每次核查情况汇总后进行公示，接受社会监督，</w:t>
            </w:r>
            <w:r>
              <w:rPr>
                <w:rFonts w:hint="eastAsia" w:ascii="宋体" w:hAnsi="宋体" w:eastAsia="宋体" w:cs="宋体"/>
                <w:color w:val="000000"/>
                <w:sz w:val="21"/>
                <w:szCs w:val="21"/>
                <w:highlight w:val="none"/>
                <w:u w:val="single"/>
              </w:rPr>
              <w:t>公示期三个工作日</w:t>
            </w:r>
            <w:r>
              <w:rPr>
                <w:rFonts w:hint="eastAsia" w:ascii="宋体" w:hAnsi="宋体" w:eastAsia="宋体" w:cs="宋体"/>
                <w:color w:val="000000"/>
                <w:sz w:val="21"/>
                <w:szCs w:val="21"/>
                <w:highlight w:val="none"/>
              </w:rPr>
              <w:t>。</w:t>
            </w:r>
          </w:p>
        </w:tc>
        <w:tc>
          <w:tcPr>
            <w:tcW w:w="7279"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第十八条</w:t>
            </w:r>
            <w:r>
              <w:rPr>
                <w:rFonts w:hint="eastAsia" w:ascii="宋体" w:hAnsi="宋体" w:eastAsia="宋体" w:cs="宋体"/>
                <w:color w:val="000000"/>
                <w:sz w:val="21"/>
                <w:szCs w:val="21"/>
                <w:highlight w:val="none"/>
                <w:lang w:eastAsia="zh-CN"/>
              </w:rPr>
              <w:t>……</w:t>
            </w:r>
            <w:r>
              <w:rPr>
                <w:rFonts w:hint="eastAsia" w:ascii="宋体" w:hAnsi="宋体" w:eastAsia="宋体" w:cs="宋体"/>
                <w:b/>
                <w:bCs/>
                <w:color w:val="000000"/>
                <w:sz w:val="21"/>
                <w:szCs w:val="21"/>
                <w:highlight w:val="none"/>
                <w:lang w:eastAsia="zh-CN"/>
              </w:rPr>
              <w:t>市（州）</w:t>
            </w:r>
            <w:r>
              <w:rPr>
                <w:rFonts w:hint="eastAsia" w:ascii="宋体" w:hAnsi="宋体" w:eastAsia="宋体" w:cs="宋体"/>
                <w:b/>
                <w:bCs/>
                <w:color w:val="000000"/>
                <w:sz w:val="21"/>
                <w:szCs w:val="21"/>
                <w:highlight w:val="none"/>
              </w:rPr>
              <w:t>发展改革委</w:t>
            </w:r>
            <w:r>
              <w:rPr>
                <w:rFonts w:hint="eastAsia" w:ascii="宋体" w:hAnsi="宋体" w:eastAsia="宋体" w:cs="宋体"/>
                <w:color w:val="000000"/>
                <w:sz w:val="21"/>
                <w:szCs w:val="21"/>
                <w:highlight w:val="none"/>
              </w:rPr>
              <w:t>将每次核查情况汇总后</w:t>
            </w:r>
            <w:r>
              <w:rPr>
                <w:rFonts w:hint="eastAsia" w:ascii="宋体" w:hAnsi="宋体" w:eastAsia="宋体" w:cs="宋体"/>
                <w:b/>
                <w:bCs/>
                <w:color w:val="000000"/>
                <w:sz w:val="21"/>
                <w:szCs w:val="21"/>
                <w:highlight w:val="none"/>
                <w:lang w:eastAsia="zh-CN"/>
              </w:rPr>
              <w:t>通过信息管理系统</w:t>
            </w:r>
            <w:r>
              <w:rPr>
                <w:rFonts w:hint="eastAsia" w:ascii="宋体" w:hAnsi="宋体" w:eastAsia="宋体" w:cs="宋体"/>
                <w:color w:val="000000"/>
                <w:sz w:val="21"/>
                <w:szCs w:val="21"/>
                <w:highlight w:val="none"/>
              </w:rPr>
              <w:t>进行公示，接受社会监督。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 xml:space="preserve">第十九条  </w:t>
            </w:r>
            <w:r>
              <w:rPr>
                <w:rFonts w:hint="eastAsia" w:ascii="宋体" w:hAnsi="宋体" w:eastAsia="宋体" w:cs="宋体"/>
                <w:color w:val="000000"/>
                <w:sz w:val="21"/>
                <w:szCs w:val="21"/>
                <w:highlight w:val="none"/>
              </w:rPr>
              <w:t>招标代理机构对核查结果有异议的，可在公示期内向</w:t>
            </w:r>
            <w:r>
              <w:rPr>
                <w:rFonts w:hint="eastAsia" w:ascii="宋体" w:hAnsi="宋体" w:eastAsia="宋体" w:cs="宋体"/>
                <w:color w:val="000000"/>
                <w:sz w:val="21"/>
                <w:szCs w:val="21"/>
                <w:highlight w:val="none"/>
                <w:u w:val="single"/>
              </w:rPr>
              <w:t>省发展改革委</w:t>
            </w:r>
            <w:r>
              <w:rPr>
                <w:rFonts w:hint="eastAsia" w:ascii="宋体" w:hAnsi="宋体" w:eastAsia="宋体" w:cs="宋体"/>
                <w:color w:val="000000"/>
                <w:sz w:val="21"/>
                <w:szCs w:val="21"/>
                <w:highlight w:val="none"/>
              </w:rPr>
              <w:t>提出申诉，提出申诉时应附有关证据材料。</w:t>
            </w:r>
          </w:p>
          <w:p>
            <w:pPr>
              <w:adjustRightInd w:val="0"/>
              <w:snapToGrid w:val="0"/>
              <w:spacing w:beforeLines="0" w:afterLines="0" w:line="240" w:lineRule="auto"/>
              <w:ind w:firstLine="640" w:firstLineChars="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u w:val="single"/>
              </w:rPr>
              <w:t>省发展改革委</w:t>
            </w:r>
            <w:r>
              <w:rPr>
                <w:rFonts w:hint="eastAsia" w:ascii="宋体" w:hAnsi="宋体" w:eastAsia="宋体" w:cs="宋体"/>
                <w:color w:val="000000"/>
                <w:sz w:val="21"/>
                <w:szCs w:val="21"/>
                <w:highlight w:val="none"/>
              </w:rPr>
              <w:t>会同相关部门对提起申诉的招标代理机构核查意见进行复核，并将复核情况予以公示。</w:t>
            </w:r>
          </w:p>
        </w:tc>
        <w:tc>
          <w:tcPr>
            <w:tcW w:w="7279" w:type="dxa"/>
            <w:noWrap w:val="0"/>
            <w:vAlign w:val="top"/>
          </w:tcPr>
          <w:p>
            <w:pPr>
              <w:adjustRightInd w:val="0"/>
              <w:snapToGrid w:val="0"/>
              <w:spacing w:beforeLines="0" w:afterLines="0" w:line="240" w:lineRule="auto"/>
              <w:ind w:firstLine="640"/>
              <w:rPr>
                <w:rFonts w:hint="eastAsia" w:ascii="宋体" w:hAnsi="宋体" w:eastAsia="宋体" w:cs="宋体"/>
                <w:b w:val="0"/>
                <w:bCs/>
                <w:color w:val="000000"/>
                <w:sz w:val="21"/>
                <w:szCs w:val="21"/>
                <w:highlight w:val="none"/>
              </w:rPr>
            </w:pPr>
            <w:r>
              <w:rPr>
                <w:rFonts w:hint="eastAsia" w:ascii="宋体" w:hAnsi="宋体" w:eastAsia="宋体" w:cs="宋体"/>
                <w:b/>
                <w:color w:val="000000"/>
                <w:sz w:val="21"/>
                <w:szCs w:val="21"/>
                <w:highlight w:val="none"/>
              </w:rPr>
              <w:t>第十九条</w:t>
            </w:r>
            <w:r>
              <w:rPr>
                <w:rFonts w:hint="eastAsia" w:ascii="宋体" w:hAnsi="宋体" w:eastAsia="宋体" w:cs="宋体"/>
                <w:b w:val="0"/>
                <w:bCs/>
                <w:color w:val="000000"/>
                <w:sz w:val="21"/>
                <w:szCs w:val="21"/>
                <w:highlight w:val="none"/>
              </w:rPr>
              <w:t xml:space="preserve">  招标代理机构</w:t>
            </w:r>
            <w:r>
              <w:rPr>
                <w:rFonts w:hint="eastAsia" w:ascii="宋体" w:hAnsi="宋体" w:eastAsia="宋体" w:cs="宋体"/>
                <w:b/>
                <w:bCs w:val="0"/>
                <w:color w:val="000000"/>
                <w:sz w:val="21"/>
                <w:szCs w:val="21"/>
                <w:highlight w:val="none"/>
              </w:rPr>
              <w:t>及从业人员</w:t>
            </w:r>
            <w:r>
              <w:rPr>
                <w:rFonts w:hint="eastAsia" w:ascii="宋体" w:hAnsi="宋体" w:eastAsia="宋体" w:cs="宋体"/>
                <w:b w:val="0"/>
                <w:bCs/>
                <w:color w:val="000000"/>
                <w:sz w:val="21"/>
                <w:szCs w:val="21"/>
                <w:highlight w:val="none"/>
              </w:rPr>
              <w:t>对核查结果有异议的，可在公示期内向</w:t>
            </w:r>
            <w:r>
              <w:rPr>
                <w:rFonts w:hint="eastAsia" w:ascii="宋体" w:hAnsi="宋体" w:eastAsia="宋体" w:cs="宋体"/>
                <w:b/>
                <w:bCs w:val="0"/>
                <w:color w:val="000000"/>
                <w:sz w:val="21"/>
                <w:szCs w:val="21"/>
                <w:highlight w:val="none"/>
              </w:rPr>
              <w:t>市（州）</w:t>
            </w:r>
            <w:r>
              <w:rPr>
                <w:rFonts w:hint="eastAsia" w:ascii="宋体" w:hAnsi="宋体" w:eastAsia="宋体" w:cs="宋体"/>
                <w:b w:val="0"/>
                <w:bCs/>
                <w:color w:val="000000"/>
                <w:sz w:val="21"/>
                <w:szCs w:val="21"/>
                <w:highlight w:val="none"/>
              </w:rPr>
              <w:t>发展改革委提出申诉，提出申诉时应附有关证据材料。</w:t>
            </w:r>
          </w:p>
          <w:p>
            <w:pPr>
              <w:adjustRightInd w:val="0"/>
              <w:snapToGrid w:val="0"/>
              <w:spacing w:beforeLines="0" w:afterLines="0" w:line="240" w:lineRule="auto"/>
              <w:ind w:firstLine="640"/>
              <w:rPr>
                <w:rFonts w:hint="eastAsia" w:ascii="宋体" w:hAnsi="宋体" w:eastAsia="宋体" w:cs="宋体"/>
                <w:b/>
                <w:bCs/>
                <w:color w:val="000000"/>
                <w:sz w:val="21"/>
                <w:szCs w:val="21"/>
                <w:highlight w:val="none"/>
              </w:rPr>
            </w:pPr>
            <w:r>
              <w:rPr>
                <w:rFonts w:hint="eastAsia" w:ascii="宋体" w:hAnsi="宋体" w:eastAsia="宋体" w:cs="宋体"/>
                <w:b/>
                <w:bCs w:val="0"/>
                <w:color w:val="000000"/>
                <w:sz w:val="21"/>
                <w:szCs w:val="21"/>
                <w:highlight w:val="none"/>
              </w:rPr>
              <w:t>市（州）发展改革委</w:t>
            </w:r>
            <w:r>
              <w:rPr>
                <w:rFonts w:hint="eastAsia" w:ascii="宋体" w:hAnsi="宋体" w:eastAsia="宋体" w:cs="宋体"/>
                <w:b w:val="0"/>
                <w:bCs/>
                <w:color w:val="000000"/>
                <w:sz w:val="21"/>
                <w:szCs w:val="21"/>
                <w:highlight w:val="none"/>
              </w:rPr>
              <w:t>会同相关部门对提起申诉的招标代理机构</w:t>
            </w:r>
            <w:r>
              <w:rPr>
                <w:rFonts w:hint="eastAsia" w:ascii="宋体" w:hAnsi="宋体" w:eastAsia="宋体" w:cs="宋体"/>
                <w:b/>
                <w:bCs w:val="0"/>
                <w:color w:val="000000"/>
                <w:sz w:val="21"/>
                <w:szCs w:val="21"/>
                <w:highlight w:val="none"/>
              </w:rPr>
              <w:t>核查结果</w:t>
            </w:r>
            <w:r>
              <w:rPr>
                <w:rFonts w:hint="eastAsia" w:ascii="宋体" w:hAnsi="宋体" w:eastAsia="宋体" w:cs="宋体"/>
                <w:b w:val="0"/>
                <w:bCs/>
                <w:color w:val="000000"/>
                <w:sz w:val="21"/>
                <w:szCs w:val="21"/>
                <w:highlight w:val="none"/>
              </w:rPr>
              <w:t>进行复核，并将复核情况予以公示。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u w:val="single"/>
              </w:rPr>
            </w:pPr>
            <w:r>
              <w:rPr>
                <w:rFonts w:hint="eastAsia" w:ascii="宋体" w:hAnsi="宋体" w:eastAsia="宋体" w:cs="宋体"/>
                <w:b/>
                <w:bCs/>
                <w:color w:val="000000"/>
                <w:sz w:val="21"/>
                <w:szCs w:val="21"/>
                <w:highlight w:val="none"/>
                <w:u w:val="none"/>
              </w:rPr>
              <w:t>第二十条</w:t>
            </w:r>
            <w:r>
              <w:rPr>
                <w:rFonts w:hint="eastAsia" w:ascii="宋体" w:hAnsi="宋体" w:eastAsia="宋体" w:cs="宋体"/>
                <w:color w:val="000000"/>
                <w:sz w:val="21"/>
                <w:szCs w:val="21"/>
                <w:highlight w:val="none"/>
                <w:u w:val="none"/>
              </w:rPr>
              <w:t xml:space="preserve">  对核查不通过的招标代理机构，除责令</w:t>
            </w:r>
            <w:r>
              <w:rPr>
                <w:rFonts w:hint="eastAsia" w:ascii="宋体" w:hAnsi="宋体" w:eastAsia="宋体" w:cs="宋体"/>
                <w:color w:val="000000"/>
                <w:sz w:val="21"/>
                <w:szCs w:val="21"/>
                <w:highlight w:val="none"/>
                <w:u w:val="single"/>
              </w:rPr>
              <w:t>其</w:t>
            </w:r>
            <w:r>
              <w:rPr>
                <w:rFonts w:hint="eastAsia" w:ascii="宋体" w:hAnsi="宋体" w:eastAsia="宋体" w:cs="宋体"/>
                <w:color w:val="000000"/>
                <w:sz w:val="21"/>
                <w:szCs w:val="21"/>
                <w:highlight w:val="none"/>
                <w:u w:val="none"/>
              </w:rPr>
              <w:t>改正外，根据其情节轻重，按照本办法的规定认定为</w:t>
            </w:r>
            <w:r>
              <w:rPr>
                <w:rFonts w:hint="eastAsia" w:ascii="宋体" w:hAnsi="宋体" w:eastAsia="宋体" w:cs="宋体"/>
                <w:color w:val="000000"/>
                <w:sz w:val="21"/>
                <w:szCs w:val="21"/>
                <w:highlight w:val="none"/>
                <w:u w:val="single"/>
              </w:rPr>
              <w:t>一般</w:t>
            </w:r>
            <w:r>
              <w:rPr>
                <w:rFonts w:hint="eastAsia" w:ascii="宋体" w:hAnsi="宋体" w:eastAsia="宋体" w:cs="宋体"/>
                <w:color w:val="000000"/>
                <w:sz w:val="21"/>
                <w:szCs w:val="21"/>
                <w:highlight w:val="none"/>
                <w:u w:val="none"/>
              </w:rPr>
              <w:t>不良行为</w:t>
            </w:r>
            <w:r>
              <w:rPr>
                <w:rFonts w:hint="eastAsia" w:ascii="宋体" w:hAnsi="宋体" w:eastAsia="宋体" w:cs="宋体"/>
                <w:color w:val="000000"/>
                <w:sz w:val="21"/>
                <w:szCs w:val="21"/>
                <w:highlight w:val="none"/>
                <w:u w:val="single"/>
              </w:rPr>
              <w:t>或严重不良行为</w:t>
            </w:r>
            <w:r>
              <w:rPr>
                <w:rFonts w:hint="eastAsia" w:ascii="宋体" w:hAnsi="宋体" w:eastAsia="宋体" w:cs="宋体"/>
                <w:color w:val="000000"/>
                <w:sz w:val="21"/>
                <w:szCs w:val="21"/>
                <w:highlight w:val="none"/>
                <w:u w:val="none"/>
              </w:rPr>
              <w:t>。</w:t>
            </w:r>
          </w:p>
        </w:tc>
        <w:tc>
          <w:tcPr>
            <w:tcW w:w="7279" w:type="dxa"/>
            <w:noWrap w:val="0"/>
            <w:vAlign w:val="top"/>
          </w:tcPr>
          <w:p>
            <w:pPr>
              <w:numPr>
                <w:ilvl w:val="0"/>
                <w:numId w:val="0"/>
              </w:numPr>
              <w:adjustRightInd w:val="0"/>
              <w:snapToGrid w:val="0"/>
              <w:spacing w:beforeLines="0" w:afterLines="0" w:line="240" w:lineRule="auto"/>
              <w:ind w:firstLine="422" w:firstLineChars="200"/>
              <w:jc w:val="left"/>
              <w:rPr>
                <w:rFonts w:hint="eastAsia" w:ascii="宋体" w:hAnsi="宋体" w:eastAsia="宋体" w:cs="宋体"/>
                <w:color w:val="000000"/>
                <w:sz w:val="21"/>
                <w:szCs w:val="21"/>
                <w:highlight w:val="none"/>
                <w:lang w:eastAsia="zh-CN"/>
              </w:rPr>
            </w:pPr>
            <w:r>
              <w:rPr>
                <w:rFonts w:hint="eastAsia" w:ascii="宋体" w:hAnsi="宋体" w:eastAsia="宋体" w:cs="宋体"/>
                <w:b/>
                <w:bCs/>
                <w:color w:val="000000"/>
                <w:sz w:val="21"/>
                <w:szCs w:val="21"/>
                <w:highlight w:val="none"/>
              </w:rPr>
              <w:t xml:space="preserve">第二十条  </w:t>
            </w:r>
            <w:r>
              <w:rPr>
                <w:rFonts w:hint="eastAsia" w:ascii="宋体" w:hAnsi="宋体" w:eastAsia="宋体" w:cs="宋体"/>
                <w:color w:val="000000"/>
                <w:sz w:val="21"/>
                <w:szCs w:val="21"/>
                <w:highlight w:val="none"/>
              </w:rPr>
              <w:t>对核查不通过的招标代理机构</w:t>
            </w:r>
            <w:r>
              <w:rPr>
                <w:rFonts w:hint="eastAsia" w:ascii="宋体" w:hAnsi="宋体" w:eastAsia="宋体" w:cs="宋体"/>
                <w:b/>
                <w:bCs/>
                <w:color w:val="000000"/>
                <w:sz w:val="21"/>
                <w:szCs w:val="21"/>
                <w:highlight w:val="none"/>
              </w:rPr>
              <w:t>、从业人员</w:t>
            </w:r>
            <w:r>
              <w:rPr>
                <w:rFonts w:hint="eastAsia" w:ascii="宋体" w:hAnsi="宋体" w:eastAsia="宋体" w:cs="宋体"/>
                <w:color w:val="000000"/>
                <w:sz w:val="21"/>
                <w:szCs w:val="21"/>
                <w:highlight w:val="none"/>
              </w:rPr>
              <w:t>，除责令改正外，根据其情节轻重，</w:t>
            </w:r>
            <w:r>
              <w:rPr>
                <w:rFonts w:hint="eastAsia" w:ascii="宋体" w:hAnsi="宋体" w:eastAsia="宋体" w:cs="宋体"/>
                <w:b/>
                <w:bCs/>
                <w:color w:val="000000"/>
                <w:sz w:val="21"/>
                <w:szCs w:val="21"/>
                <w:highlight w:val="none"/>
              </w:rPr>
              <w:t>在信用评价中予以扣分，或者按照本办法的规定认定为不良行为。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u w:val="single"/>
              </w:rPr>
            </w:pPr>
          </w:p>
        </w:tc>
        <w:tc>
          <w:tcPr>
            <w:tcW w:w="7279" w:type="dxa"/>
            <w:noWrap w:val="0"/>
            <w:vAlign w:val="top"/>
          </w:tcPr>
          <w:p>
            <w:pPr>
              <w:numPr>
                <w:ilvl w:val="0"/>
                <w:numId w:val="0"/>
              </w:numPr>
              <w:adjustRightInd w:val="0"/>
              <w:snapToGrid w:val="0"/>
              <w:spacing w:before="0" w:beforeLines="0" w:after="0" w:afterLines="0" w:line="240" w:lineRule="auto"/>
              <w:ind w:firstLine="0"/>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eastAsia="zh-CN"/>
              </w:rPr>
              <w:t>第四章</w:t>
            </w:r>
            <w:r>
              <w:rPr>
                <w:rFonts w:hint="eastAsia" w:ascii="宋体" w:hAnsi="宋体" w:eastAsia="宋体" w:cs="宋体"/>
                <w:b/>
                <w:bCs/>
                <w:color w:val="000000"/>
                <w:sz w:val="21"/>
                <w:szCs w:val="21"/>
                <w:highlight w:val="none"/>
              </w:rPr>
              <w:t xml:space="preserve"> </w:t>
            </w:r>
            <w:r>
              <w:rPr>
                <w:rFonts w:hint="eastAsia" w:ascii="宋体" w:hAnsi="宋体" w:eastAsia="宋体" w:cs="宋体"/>
                <w:b/>
                <w:bCs/>
                <w:color w:val="000000"/>
                <w:sz w:val="21"/>
                <w:szCs w:val="21"/>
                <w:highlight w:val="none"/>
                <w:lang w:eastAsia="zh-CN"/>
              </w:rPr>
              <w:t>“一代理一评价”</w:t>
            </w:r>
          </w:p>
          <w:p>
            <w:pPr>
              <w:numPr>
                <w:ilvl w:val="0"/>
                <w:numId w:val="0"/>
              </w:numPr>
              <w:adjustRightInd w:val="0"/>
              <w:snapToGrid w:val="0"/>
              <w:spacing w:beforeLines="0" w:after="0" w:afterLines="0" w:line="240" w:lineRule="auto"/>
              <w:ind w:firstLine="422" w:firstLineChars="200"/>
              <w:jc w:val="left"/>
              <w:rPr>
                <w:rFonts w:hint="eastAsia" w:ascii="宋体" w:hAnsi="宋体" w:eastAsia="宋体" w:cs="宋体"/>
                <w:color w:val="000000"/>
                <w:sz w:val="21"/>
                <w:szCs w:val="21"/>
                <w:highlight w:val="none"/>
                <w:lang w:eastAsia="zh-CN"/>
              </w:rPr>
            </w:pPr>
            <w:r>
              <w:rPr>
                <w:rFonts w:hint="eastAsia" w:ascii="宋体" w:hAnsi="宋体" w:eastAsia="宋体" w:cs="宋体"/>
                <w:b/>
                <w:bCs/>
                <w:color w:val="000000"/>
                <w:sz w:val="21"/>
                <w:szCs w:val="21"/>
                <w:highlight w:val="none"/>
                <w:lang w:eastAsia="zh-CN"/>
              </w:rPr>
              <w:t>第二十一条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color w:val="000000"/>
                <w:sz w:val="21"/>
                <w:szCs w:val="21"/>
                <w:highlight w:val="none"/>
              </w:rPr>
              <w:t>行政监督部门</w:t>
            </w:r>
            <w:r>
              <w:rPr>
                <w:rFonts w:hint="eastAsia" w:ascii="宋体" w:hAnsi="宋体" w:eastAsia="宋体" w:cs="宋体"/>
                <w:color w:val="000000"/>
                <w:sz w:val="21"/>
                <w:szCs w:val="21"/>
                <w:highlight w:val="none"/>
                <w:lang w:eastAsia="zh-CN"/>
              </w:rPr>
              <w:t>应当对招标代理机构及项目负责人在每个招标代理项目中的</w:t>
            </w:r>
            <w:r>
              <w:rPr>
                <w:rFonts w:hint="eastAsia" w:ascii="宋体" w:hAnsi="宋体" w:eastAsia="宋体" w:cs="宋体"/>
                <w:color w:val="000000"/>
                <w:sz w:val="21"/>
                <w:szCs w:val="21"/>
                <w:highlight w:val="none"/>
              </w:rPr>
              <w:t>遵规履责</w:t>
            </w:r>
            <w:r>
              <w:rPr>
                <w:rFonts w:hint="eastAsia" w:ascii="宋体" w:hAnsi="宋体" w:eastAsia="宋体" w:cs="宋体"/>
                <w:color w:val="000000"/>
                <w:sz w:val="21"/>
                <w:szCs w:val="21"/>
                <w:highlight w:val="none"/>
                <w:lang w:eastAsia="zh-CN"/>
              </w:rPr>
              <w:t>情况开展</w:t>
            </w:r>
            <w:r>
              <w:rPr>
                <w:rFonts w:hint="eastAsia" w:ascii="宋体" w:hAnsi="宋体" w:eastAsia="宋体" w:cs="宋体"/>
                <w:color w:val="000000"/>
                <w:sz w:val="21"/>
                <w:szCs w:val="21"/>
                <w:highlight w:val="none"/>
              </w:rPr>
              <w:t>“一代理一评价”</w:t>
            </w:r>
            <w:r>
              <w:rPr>
                <w:rFonts w:hint="eastAsia" w:ascii="宋体" w:hAnsi="宋体" w:eastAsia="宋体" w:cs="宋体"/>
                <w:color w:val="000000"/>
                <w:sz w:val="21"/>
                <w:szCs w:val="21"/>
                <w:highlight w:val="none"/>
                <w:lang w:eastAsia="zh-CN"/>
              </w:rPr>
              <w:t>，对不规范行为予以扣分。</w:t>
            </w:r>
            <w:r>
              <w:rPr>
                <w:rFonts w:hint="eastAsia" w:ascii="宋体" w:hAnsi="宋体" w:eastAsia="宋体" w:cs="宋体"/>
                <w:b w:val="0"/>
                <w:bCs w:val="0"/>
                <w:color w:val="000000"/>
                <w:sz w:val="21"/>
                <w:szCs w:val="21"/>
                <w:highlight w:val="none"/>
                <w:lang w:val="en-US" w:eastAsia="zh-CN"/>
              </w:rPr>
              <w:t>各公共资源交易平台服务机构</w:t>
            </w:r>
            <w:r>
              <w:rPr>
                <w:rFonts w:hint="eastAsia" w:ascii="宋体" w:hAnsi="宋体" w:eastAsia="宋体" w:cs="宋体"/>
                <w:color w:val="000000"/>
                <w:sz w:val="21"/>
                <w:szCs w:val="21"/>
                <w:highlight w:val="none"/>
                <w:lang w:eastAsia="zh-CN"/>
              </w:rPr>
              <w:t>应当配合做好评价工作。</w:t>
            </w:r>
          </w:p>
          <w:p>
            <w:pPr>
              <w:numPr>
                <w:ilvl w:val="0"/>
                <w:numId w:val="0"/>
              </w:numPr>
              <w:adjustRightInd w:val="0"/>
              <w:snapToGrid w:val="0"/>
              <w:spacing w:beforeLines="0" w:after="0" w:afterLines="0" w:line="240" w:lineRule="auto"/>
              <w:ind w:firstLine="422" w:firstLineChars="200"/>
              <w:jc w:val="left"/>
              <w:rPr>
                <w:rFonts w:hint="eastAsia" w:ascii="宋体" w:hAnsi="宋体" w:eastAsia="宋体" w:cs="宋体"/>
                <w:color w:val="000000"/>
                <w:sz w:val="21"/>
                <w:szCs w:val="21"/>
                <w:highlight w:val="none"/>
                <w:lang w:val="en"/>
              </w:rPr>
            </w:pPr>
            <w:r>
              <w:rPr>
                <w:rFonts w:hint="eastAsia" w:ascii="宋体" w:hAnsi="宋体" w:eastAsia="宋体" w:cs="宋体"/>
                <w:b/>
                <w:bCs/>
                <w:color w:val="000000"/>
                <w:sz w:val="21"/>
                <w:szCs w:val="21"/>
                <w:highlight w:val="none"/>
                <w:lang w:eastAsia="zh-CN"/>
              </w:rPr>
              <w:t>第二十二条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color w:val="000000"/>
                <w:sz w:val="21"/>
                <w:szCs w:val="21"/>
                <w:highlight w:val="none"/>
              </w:rPr>
              <w:t>“一代理一评价”</w:t>
            </w:r>
            <w:r>
              <w:rPr>
                <w:rFonts w:hint="eastAsia" w:ascii="宋体" w:hAnsi="宋体" w:eastAsia="宋体" w:cs="宋体"/>
                <w:color w:val="000000"/>
                <w:sz w:val="21"/>
                <w:szCs w:val="21"/>
                <w:highlight w:val="none"/>
                <w:lang w:eastAsia="zh-CN"/>
              </w:rPr>
              <w:t>以</w:t>
            </w:r>
            <w:r>
              <w:rPr>
                <w:rFonts w:hint="eastAsia" w:ascii="宋体" w:hAnsi="宋体" w:eastAsia="宋体" w:cs="宋体"/>
                <w:color w:val="000000"/>
                <w:sz w:val="21"/>
                <w:szCs w:val="21"/>
                <w:highlight w:val="none"/>
              </w:rPr>
              <w:t>招标代理机构及项目负责人</w:t>
            </w:r>
            <w:r>
              <w:rPr>
                <w:rFonts w:hint="eastAsia" w:ascii="宋体" w:hAnsi="宋体" w:eastAsia="宋体" w:cs="宋体"/>
                <w:color w:val="000000"/>
                <w:sz w:val="21"/>
                <w:szCs w:val="21"/>
                <w:highlight w:val="none"/>
                <w:lang w:eastAsia="zh-CN"/>
              </w:rPr>
              <w:t>为</w:t>
            </w:r>
            <w:r>
              <w:rPr>
                <w:rFonts w:hint="eastAsia" w:ascii="宋体" w:hAnsi="宋体" w:eastAsia="宋体" w:cs="宋体"/>
                <w:color w:val="000000"/>
                <w:sz w:val="21"/>
                <w:szCs w:val="21"/>
                <w:highlight w:val="none"/>
              </w:rPr>
              <w:t>评价对象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实行</w:t>
            </w:r>
            <w:r>
              <w:rPr>
                <w:rFonts w:hint="eastAsia" w:ascii="宋体" w:hAnsi="宋体" w:eastAsia="宋体" w:cs="宋体"/>
                <w:color w:val="000000"/>
                <w:sz w:val="21"/>
                <w:szCs w:val="21"/>
                <w:highlight w:val="none"/>
                <w:lang w:eastAsia="zh-CN"/>
              </w:rPr>
              <w:t>累计</w:t>
            </w:r>
            <w:r>
              <w:rPr>
                <w:rFonts w:hint="eastAsia" w:ascii="宋体" w:hAnsi="宋体" w:eastAsia="宋体" w:cs="宋体"/>
                <w:color w:val="000000"/>
                <w:sz w:val="21"/>
                <w:szCs w:val="21"/>
                <w:highlight w:val="none"/>
              </w:rPr>
              <w:t>扣分制，</w:t>
            </w:r>
            <w:r>
              <w:rPr>
                <w:rFonts w:hint="eastAsia" w:ascii="宋体" w:hAnsi="宋体" w:eastAsia="宋体" w:cs="宋体"/>
                <w:color w:val="000000"/>
                <w:sz w:val="21"/>
                <w:szCs w:val="21"/>
                <w:highlight w:val="none"/>
                <w:lang w:val="en"/>
              </w:rPr>
              <w:t>每</w:t>
            </w:r>
            <w:r>
              <w:rPr>
                <w:rFonts w:hint="eastAsia" w:ascii="宋体" w:hAnsi="宋体" w:eastAsia="宋体" w:cs="宋体"/>
                <w:color w:val="000000"/>
                <w:sz w:val="21"/>
                <w:szCs w:val="21"/>
                <w:highlight w:val="none"/>
                <w:lang w:val="en" w:eastAsia="zh-CN"/>
              </w:rPr>
              <w:t>发现</w:t>
            </w:r>
            <w:r>
              <w:rPr>
                <w:rFonts w:hint="eastAsia" w:ascii="宋体" w:hAnsi="宋体" w:eastAsia="宋体" w:cs="宋体"/>
                <w:color w:val="000000"/>
                <w:sz w:val="21"/>
                <w:szCs w:val="21"/>
                <w:highlight w:val="none"/>
                <w:lang w:val="en"/>
              </w:rPr>
              <w:t>一个不规范</w:t>
            </w:r>
            <w:r>
              <w:rPr>
                <w:rFonts w:hint="eastAsia" w:ascii="宋体" w:hAnsi="宋体" w:eastAsia="宋体" w:cs="宋体"/>
                <w:color w:val="000000"/>
                <w:sz w:val="21"/>
                <w:szCs w:val="21"/>
                <w:highlight w:val="none"/>
                <w:lang w:val="en" w:eastAsia="zh-CN"/>
              </w:rPr>
              <w:t>行为</w:t>
            </w:r>
            <w:r>
              <w:rPr>
                <w:rFonts w:hint="eastAsia" w:ascii="宋体" w:hAnsi="宋体" w:eastAsia="宋体" w:cs="宋体"/>
                <w:color w:val="000000"/>
                <w:sz w:val="21"/>
                <w:szCs w:val="21"/>
                <w:highlight w:val="none"/>
                <w:lang w:val="en"/>
              </w:rPr>
              <w:t>扣0.</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val="en"/>
              </w:rPr>
              <w:t>分</w:t>
            </w:r>
            <w:r>
              <w:rPr>
                <w:rFonts w:hint="eastAsia" w:ascii="宋体" w:hAnsi="宋体" w:eastAsia="宋体" w:cs="宋体"/>
                <w:color w:val="000000"/>
                <w:sz w:val="21"/>
                <w:szCs w:val="21"/>
                <w:highlight w:val="none"/>
                <w:lang w:val="en" w:eastAsia="zh-CN"/>
              </w:rPr>
              <w:t>，</w:t>
            </w:r>
            <w:r>
              <w:rPr>
                <w:rFonts w:hint="eastAsia" w:ascii="宋体" w:hAnsi="宋体" w:eastAsia="宋体" w:cs="宋体"/>
                <w:color w:val="000000"/>
                <w:sz w:val="21"/>
                <w:szCs w:val="21"/>
                <w:highlight w:val="none"/>
              </w:rPr>
              <w:t>具体扣分情形</w:t>
            </w:r>
            <w:r>
              <w:rPr>
                <w:rFonts w:hint="eastAsia" w:ascii="宋体" w:hAnsi="宋体" w:eastAsia="宋体" w:cs="宋体"/>
                <w:color w:val="000000"/>
                <w:sz w:val="21"/>
                <w:szCs w:val="21"/>
                <w:highlight w:val="none"/>
                <w:lang w:val="en"/>
              </w:rPr>
              <w:t>见附件</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val="en"/>
              </w:rPr>
              <w:t>。</w:t>
            </w:r>
          </w:p>
          <w:p>
            <w:pPr>
              <w:numPr>
                <w:ilvl w:val="0"/>
                <w:numId w:val="0"/>
              </w:numPr>
              <w:adjustRightInd w:val="0"/>
              <w:snapToGrid w:val="0"/>
              <w:spacing w:beforeLines="0" w:after="0" w:afterLines="0" w:line="240" w:lineRule="auto"/>
              <w:ind w:firstLine="422" w:firstLineChars="200"/>
              <w:jc w:val="left"/>
              <w:rPr>
                <w:rFonts w:hint="eastAsia" w:ascii="宋体" w:hAnsi="宋体" w:eastAsia="宋体" w:cs="宋体"/>
                <w:color w:val="000000"/>
                <w:sz w:val="21"/>
                <w:szCs w:val="21"/>
                <w:highlight w:val="none"/>
                <w:lang w:val="en" w:eastAsia="zh-CN"/>
              </w:rPr>
            </w:pPr>
            <w:r>
              <w:rPr>
                <w:rFonts w:hint="eastAsia" w:ascii="宋体" w:hAnsi="宋体" w:eastAsia="宋体" w:cs="宋体"/>
                <w:b/>
                <w:bCs/>
                <w:color w:val="000000"/>
                <w:sz w:val="21"/>
                <w:szCs w:val="21"/>
                <w:highlight w:val="none"/>
                <w:lang w:eastAsia="zh-CN"/>
              </w:rPr>
              <w:t>第二十三条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b w:val="0"/>
                <w:bCs w:val="0"/>
                <w:color w:val="000000"/>
                <w:sz w:val="21"/>
                <w:szCs w:val="21"/>
                <w:highlight w:val="none"/>
              </w:rPr>
              <w:t>“一代理一评价”通过行业</w:t>
            </w:r>
            <w:r>
              <w:rPr>
                <w:rFonts w:hint="eastAsia" w:ascii="宋体" w:hAnsi="宋体" w:eastAsia="宋体" w:cs="宋体"/>
                <w:b w:val="0"/>
                <w:bCs w:val="0"/>
                <w:color w:val="000000"/>
                <w:sz w:val="21"/>
                <w:szCs w:val="21"/>
                <w:highlight w:val="none"/>
                <w:lang w:eastAsia="zh-CN"/>
              </w:rPr>
              <w:t>监管备案系统或者</w:t>
            </w:r>
            <w:r>
              <w:rPr>
                <w:rFonts w:hint="eastAsia" w:ascii="宋体" w:hAnsi="宋体" w:eastAsia="宋体" w:cs="宋体"/>
                <w:b w:val="0"/>
                <w:bCs w:val="0"/>
                <w:color w:val="000000"/>
                <w:sz w:val="21"/>
                <w:szCs w:val="21"/>
                <w:highlight w:val="none"/>
              </w:rPr>
              <w:t>行政监督平台</w:t>
            </w:r>
            <w:r>
              <w:rPr>
                <w:rFonts w:hint="eastAsia" w:ascii="宋体" w:hAnsi="宋体" w:eastAsia="宋体" w:cs="宋体"/>
                <w:b w:val="0"/>
                <w:bCs w:val="0"/>
                <w:color w:val="000000"/>
                <w:sz w:val="21"/>
                <w:szCs w:val="21"/>
                <w:highlight w:val="none"/>
                <w:lang w:eastAsia="zh-CN"/>
              </w:rPr>
              <w:t>开展。</w:t>
            </w:r>
            <w:r>
              <w:rPr>
                <w:rFonts w:hint="eastAsia" w:ascii="宋体" w:hAnsi="宋体" w:eastAsia="宋体" w:cs="宋体"/>
                <w:b w:val="0"/>
                <w:bCs w:val="0"/>
                <w:i w:val="0"/>
                <w:caps w:val="0"/>
                <w:color w:val="000000"/>
                <w:spacing w:val="0"/>
                <w:sz w:val="21"/>
                <w:szCs w:val="21"/>
                <w:highlight w:val="none"/>
                <w:shd w:val="clear" w:color="auto" w:fill="auto"/>
              </w:rPr>
              <w:t>行政监督</w:t>
            </w:r>
            <w:r>
              <w:rPr>
                <w:rFonts w:hint="eastAsia" w:ascii="宋体" w:hAnsi="宋体" w:eastAsia="宋体" w:cs="宋体"/>
                <w:b w:val="0"/>
                <w:bCs w:val="0"/>
                <w:i w:val="0"/>
                <w:caps w:val="0"/>
                <w:color w:val="000000"/>
                <w:spacing w:val="0"/>
                <w:sz w:val="21"/>
                <w:szCs w:val="21"/>
                <w:highlight w:val="none"/>
                <w:shd w:val="clear" w:color="auto" w:fill="auto"/>
                <w:lang w:eastAsia="zh-CN"/>
              </w:rPr>
              <w:t>部门工作</w:t>
            </w:r>
            <w:r>
              <w:rPr>
                <w:rFonts w:hint="eastAsia" w:ascii="宋体" w:hAnsi="宋体" w:eastAsia="宋体" w:cs="宋体"/>
                <w:b w:val="0"/>
                <w:bCs w:val="0"/>
                <w:i w:val="0"/>
                <w:caps w:val="0"/>
                <w:color w:val="000000"/>
                <w:spacing w:val="0"/>
                <w:sz w:val="21"/>
                <w:szCs w:val="21"/>
                <w:highlight w:val="none"/>
                <w:shd w:val="clear" w:color="auto" w:fill="auto"/>
              </w:rPr>
              <w:t>人员在</w:t>
            </w:r>
            <w:r>
              <w:rPr>
                <w:rFonts w:hint="eastAsia" w:ascii="宋体" w:hAnsi="宋体" w:eastAsia="宋体" w:cs="宋体"/>
                <w:b w:val="0"/>
                <w:bCs w:val="0"/>
                <w:i w:val="0"/>
                <w:caps w:val="0"/>
                <w:color w:val="000000"/>
                <w:spacing w:val="0"/>
                <w:sz w:val="21"/>
                <w:szCs w:val="21"/>
                <w:highlight w:val="none"/>
                <w:shd w:val="clear" w:color="auto" w:fill="auto"/>
                <w:lang w:eastAsia="zh-CN"/>
              </w:rPr>
              <w:t>对招投标活动开展全过程监督中</w:t>
            </w:r>
            <w:r>
              <w:rPr>
                <w:rFonts w:hint="eastAsia" w:ascii="宋体" w:hAnsi="宋体" w:eastAsia="宋体" w:cs="宋体"/>
                <w:b w:val="0"/>
                <w:bCs w:val="0"/>
                <w:i w:val="0"/>
                <w:caps w:val="0"/>
                <w:color w:val="000000"/>
                <w:spacing w:val="0"/>
                <w:sz w:val="21"/>
                <w:szCs w:val="21"/>
                <w:highlight w:val="none"/>
                <w:shd w:val="clear" w:color="auto" w:fill="auto"/>
              </w:rPr>
              <w:t>，发现招标代理机构及</w:t>
            </w:r>
            <w:r>
              <w:rPr>
                <w:rFonts w:hint="eastAsia" w:ascii="宋体" w:hAnsi="宋体" w:eastAsia="宋体" w:cs="宋体"/>
                <w:b w:val="0"/>
                <w:bCs w:val="0"/>
                <w:i w:val="0"/>
                <w:caps w:val="0"/>
                <w:color w:val="000000"/>
                <w:spacing w:val="0"/>
                <w:sz w:val="21"/>
                <w:szCs w:val="21"/>
                <w:highlight w:val="none"/>
                <w:shd w:val="clear" w:color="auto" w:fill="auto"/>
                <w:lang w:eastAsia="zh-CN"/>
              </w:rPr>
              <w:t>项目负责人</w:t>
            </w:r>
            <w:r>
              <w:rPr>
                <w:rFonts w:hint="eastAsia" w:ascii="宋体" w:hAnsi="宋体" w:eastAsia="宋体" w:cs="宋体"/>
                <w:b w:val="0"/>
                <w:bCs w:val="0"/>
                <w:i w:val="0"/>
                <w:caps w:val="0"/>
                <w:color w:val="000000"/>
                <w:spacing w:val="0"/>
                <w:sz w:val="21"/>
                <w:szCs w:val="21"/>
                <w:highlight w:val="none"/>
                <w:shd w:val="clear" w:color="auto" w:fill="auto"/>
              </w:rPr>
              <w:t>存在不规范行为的，应</w:t>
            </w:r>
            <w:r>
              <w:rPr>
                <w:rFonts w:hint="eastAsia" w:ascii="宋体" w:hAnsi="宋体" w:eastAsia="宋体" w:cs="宋体"/>
                <w:b w:val="0"/>
                <w:bCs w:val="0"/>
                <w:i w:val="0"/>
                <w:caps w:val="0"/>
                <w:color w:val="000000"/>
                <w:spacing w:val="0"/>
                <w:sz w:val="21"/>
                <w:szCs w:val="21"/>
                <w:highlight w:val="none"/>
                <w:shd w:val="clear" w:color="auto" w:fill="auto"/>
                <w:lang w:eastAsia="zh-CN"/>
              </w:rPr>
              <w:t>当</w:t>
            </w:r>
            <w:r>
              <w:rPr>
                <w:rFonts w:hint="eastAsia" w:ascii="宋体" w:hAnsi="宋体" w:eastAsia="宋体" w:cs="宋体"/>
                <w:b w:val="0"/>
                <w:bCs w:val="0"/>
                <w:i w:val="0"/>
                <w:caps w:val="0"/>
                <w:color w:val="000000"/>
                <w:spacing w:val="0"/>
                <w:sz w:val="21"/>
                <w:szCs w:val="21"/>
                <w:highlight w:val="none"/>
                <w:shd w:val="clear" w:color="auto" w:fill="auto"/>
              </w:rPr>
              <w:t>采集必要的证据，</w:t>
            </w:r>
            <w:r>
              <w:rPr>
                <w:rFonts w:hint="eastAsia" w:ascii="宋体" w:hAnsi="宋体" w:eastAsia="宋体" w:cs="宋体"/>
                <w:b w:val="0"/>
                <w:bCs w:val="0"/>
                <w:i w:val="0"/>
                <w:caps w:val="0"/>
                <w:color w:val="000000"/>
                <w:spacing w:val="0"/>
                <w:sz w:val="21"/>
                <w:szCs w:val="21"/>
                <w:highlight w:val="none"/>
                <w:shd w:val="clear" w:color="auto" w:fill="auto"/>
                <w:lang w:eastAsia="zh-CN"/>
              </w:rPr>
              <w:t>通过</w:t>
            </w:r>
            <w:r>
              <w:rPr>
                <w:rFonts w:hint="eastAsia" w:ascii="宋体" w:hAnsi="宋体" w:eastAsia="宋体" w:cs="宋体"/>
                <w:b w:val="0"/>
                <w:bCs w:val="0"/>
                <w:color w:val="000000"/>
                <w:sz w:val="21"/>
                <w:szCs w:val="21"/>
                <w:highlight w:val="none"/>
              </w:rPr>
              <w:t>行业</w:t>
            </w:r>
            <w:r>
              <w:rPr>
                <w:rFonts w:hint="eastAsia" w:ascii="宋体" w:hAnsi="宋体" w:eastAsia="宋体" w:cs="宋体"/>
                <w:b w:val="0"/>
                <w:bCs w:val="0"/>
                <w:color w:val="000000"/>
                <w:sz w:val="21"/>
                <w:szCs w:val="21"/>
                <w:highlight w:val="none"/>
                <w:lang w:eastAsia="zh-CN"/>
              </w:rPr>
              <w:t>监管备案系统或者</w:t>
            </w:r>
            <w:r>
              <w:rPr>
                <w:rFonts w:hint="eastAsia" w:ascii="宋体" w:hAnsi="宋体" w:eastAsia="宋体" w:cs="宋体"/>
                <w:b w:val="0"/>
                <w:bCs w:val="0"/>
                <w:color w:val="000000"/>
                <w:sz w:val="21"/>
                <w:szCs w:val="21"/>
                <w:highlight w:val="none"/>
              </w:rPr>
              <w:t>行政监督平台</w:t>
            </w:r>
            <w:r>
              <w:rPr>
                <w:rFonts w:hint="eastAsia" w:ascii="宋体" w:hAnsi="宋体" w:eastAsia="宋体" w:cs="宋体"/>
                <w:b w:val="0"/>
                <w:bCs w:val="0"/>
                <w:i w:val="0"/>
                <w:caps w:val="0"/>
                <w:color w:val="000000"/>
                <w:spacing w:val="0"/>
                <w:sz w:val="21"/>
                <w:szCs w:val="21"/>
                <w:highlight w:val="none"/>
                <w:shd w:val="clear" w:color="auto" w:fill="auto"/>
              </w:rPr>
              <w:t>进行记录</w:t>
            </w:r>
            <w:r>
              <w:rPr>
                <w:rFonts w:hint="eastAsia" w:ascii="宋体" w:hAnsi="宋体" w:eastAsia="宋体" w:cs="宋体"/>
                <w:b w:val="0"/>
                <w:bCs w:val="0"/>
                <w:i w:val="0"/>
                <w:caps w:val="0"/>
                <w:color w:val="000000"/>
                <w:spacing w:val="0"/>
                <w:sz w:val="21"/>
                <w:szCs w:val="21"/>
                <w:highlight w:val="none"/>
                <w:shd w:val="clear" w:color="auto" w:fill="auto"/>
                <w:lang w:eastAsia="zh-CN"/>
              </w:rPr>
              <w:t>、扣分</w:t>
            </w:r>
            <w:r>
              <w:rPr>
                <w:rFonts w:hint="eastAsia" w:ascii="宋体" w:hAnsi="宋体" w:eastAsia="宋体" w:cs="宋体"/>
                <w:b w:val="0"/>
                <w:bCs w:val="0"/>
                <w:i w:val="0"/>
                <w:caps w:val="0"/>
                <w:color w:val="000000"/>
                <w:spacing w:val="0"/>
                <w:sz w:val="21"/>
                <w:szCs w:val="21"/>
                <w:highlight w:val="none"/>
                <w:shd w:val="clear" w:color="auto" w:fill="auto"/>
              </w:rPr>
              <w:t>；公共资源交易平台服务机构</w:t>
            </w:r>
            <w:r>
              <w:rPr>
                <w:rFonts w:hint="eastAsia" w:ascii="宋体" w:hAnsi="宋体" w:eastAsia="宋体" w:cs="宋体"/>
                <w:b w:val="0"/>
                <w:bCs w:val="0"/>
                <w:i w:val="0"/>
                <w:caps w:val="0"/>
                <w:color w:val="000000"/>
                <w:spacing w:val="0"/>
                <w:sz w:val="21"/>
                <w:szCs w:val="21"/>
                <w:highlight w:val="none"/>
                <w:shd w:val="clear" w:color="auto" w:fill="auto"/>
                <w:lang w:eastAsia="zh-CN"/>
              </w:rPr>
              <w:t>发现</w:t>
            </w:r>
            <w:r>
              <w:rPr>
                <w:rFonts w:hint="eastAsia" w:ascii="宋体" w:hAnsi="宋体" w:eastAsia="宋体" w:cs="宋体"/>
                <w:b w:val="0"/>
                <w:bCs w:val="0"/>
                <w:i w:val="0"/>
                <w:caps w:val="0"/>
                <w:color w:val="000000"/>
                <w:spacing w:val="0"/>
                <w:sz w:val="21"/>
                <w:szCs w:val="21"/>
                <w:highlight w:val="none"/>
                <w:shd w:val="clear" w:color="auto" w:fill="auto"/>
              </w:rPr>
              <w:t>招标代理机构及</w:t>
            </w:r>
            <w:r>
              <w:rPr>
                <w:rFonts w:hint="eastAsia" w:ascii="宋体" w:hAnsi="宋体" w:eastAsia="宋体" w:cs="宋体"/>
                <w:b w:val="0"/>
                <w:bCs w:val="0"/>
                <w:i w:val="0"/>
                <w:caps w:val="0"/>
                <w:color w:val="000000"/>
                <w:spacing w:val="0"/>
                <w:sz w:val="21"/>
                <w:szCs w:val="21"/>
                <w:highlight w:val="none"/>
                <w:shd w:val="clear" w:color="auto" w:fill="auto"/>
                <w:lang w:eastAsia="zh-CN"/>
              </w:rPr>
              <w:t>项目负责人</w:t>
            </w:r>
            <w:r>
              <w:rPr>
                <w:rFonts w:hint="eastAsia" w:ascii="宋体" w:hAnsi="宋体" w:eastAsia="宋体" w:cs="宋体"/>
                <w:b w:val="0"/>
                <w:bCs w:val="0"/>
                <w:i w:val="0"/>
                <w:caps w:val="0"/>
                <w:color w:val="000000"/>
                <w:spacing w:val="0"/>
                <w:sz w:val="21"/>
                <w:szCs w:val="21"/>
                <w:highlight w:val="none"/>
                <w:shd w:val="clear" w:color="auto" w:fill="auto"/>
              </w:rPr>
              <w:t>存在不规范行为的，</w:t>
            </w:r>
            <w:r>
              <w:rPr>
                <w:rFonts w:hint="eastAsia" w:ascii="宋体" w:hAnsi="宋体" w:eastAsia="宋体" w:cs="宋体"/>
                <w:b w:val="0"/>
                <w:bCs w:val="0"/>
                <w:i w:val="0"/>
                <w:caps w:val="0"/>
                <w:color w:val="000000"/>
                <w:spacing w:val="0"/>
                <w:sz w:val="21"/>
                <w:szCs w:val="21"/>
                <w:highlight w:val="none"/>
                <w:shd w:val="clear" w:color="auto" w:fill="auto"/>
                <w:lang w:eastAsia="zh-CN"/>
              </w:rPr>
              <w:t>也应当及时记录，并</w:t>
            </w:r>
            <w:r>
              <w:rPr>
                <w:rFonts w:hint="eastAsia" w:ascii="宋体" w:hAnsi="宋体" w:eastAsia="宋体" w:cs="宋体"/>
                <w:b w:val="0"/>
                <w:bCs w:val="0"/>
                <w:i w:val="0"/>
                <w:caps w:val="0"/>
                <w:color w:val="000000"/>
                <w:spacing w:val="0"/>
                <w:sz w:val="21"/>
                <w:szCs w:val="21"/>
                <w:highlight w:val="none"/>
                <w:shd w:val="clear" w:color="auto" w:fill="auto"/>
              </w:rPr>
              <w:t>通过系统推送至行政监督部门确认、扣分。</w:t>
            </w:r>
            <w:r>
              <w:rPr>
                <w:rFonts w:hint="eastAsia" w:ascii="宋体" w:hAnsi="宋体" w:eastAsia="宋体" w:cs="宋体"/>
                <w:color w:val="000000"/>
                <w:sz w:val="21"/>
                <w:szCs w:val="21"/>
                <w:highlight w:val="none"/>
                <w:lang w:val="en" w:eastAsia="zh-CN"/>
              </w:rPr>
              <w:t>除</w:t>
            </w:r>
            <w:r>
              <w:rPr>
                <w:rFonts w:hint="eastAsia" w:ascii="宋体" w:hAnsi="宋体" w:eastAsia="宋体" w:cs="宋体"/>
                <w:b w:val="0"/>
                <w:bCs w:val="0"/>
                <w:color w:val="000000"/>
                <w:sz w:val="21"/>
                <w:szCs w:val="21"/>
                <w:highlight w:val="none"/>
                <w:lang w:val="en-US" w:eastAsia="zh-CN"/>
              </w:rPr>
              <w:t>各公共资源交易平台服务机构</w:t>
            </w:r>
            <w:r>
              <w:rPr>
                <w:rFonts w:hint="eastAsia" w:ascii="宋体" w:hAnsi="宋体" w:eastAsia="宋体" w:cs="宋体"/>
                <w:color w:val="000000"/>
                <w:sz w:val="21"/>
                <w:szCs w:val="21"/>
                <w:highlight w:val="none"/>
                <w:lang w:val="en" w:eastAsia="zh-CN"/>
              </w:rPr>
              <w:t>推送的不规范行为记录不属于本办法规定的不规范行为外，行政监督部门收到</w:t>
            </w:r>
            <w:r>
              <w:rPr>
                <w:rFonts w:hint="eastAsia" w:ascii="宋体" w:hAnsi="宋体" w:eastAsia="宋体" w:cs="宋体"/>
                <w:b w:val="0"/>
                <w:bCs w:val="0"/>
                <w:color w:val="000000"/>
                <w:sz w:val="21"/>
                <w:szCs w:val="21"/>
                <w:highlight w:val="none"/>
                <w:lang w:val="en-US" w:eastAsia="zh-CN"/>
              </w:rPr>
              <w:t>各公共资源交易平台服务机构</w:t>
            </w:r>
            <w:r>
              <w:rPr>
                <w:rFonts w:hint="eastAsia" w:ascii="宋体" w:hAnsi="宋体" w:eastAsia="宋体" w:cs="宋体"/>
                <w:color w:val="000000"/>
                <w:sz w:val="21"/>
                <w:szCs w:val="21"/>
                <w:highlight w:val="none"/>
                <w:lang w:val="en" w:eastAsia="zh-CN"/>
              </w:rPr>
              <w:t>推送记录后，应当予以确认、扣分。</w:t>
            </w:r>
          </w:p>
          <w:p>
            <w:pPr>
              <w:numPr>
                <w:ilvl w:val="0"/>
                <w:numId w:val="0"/>
              </w:numPr>
              <w:adjustRightInd w:val="0"/>
              <w:snapToGrid w:val="0"/>
              <w:spacing w:beforeLines="0" w:after="0" w:afterLines="0" w:line="240" w:lineRule="auto"/>
              <w:ind w:firstLine="422" w:firstLineChars="200"/>
              <w:jc w:val="left"/>
              <w:rPr>
                <w:rFonts w:hint="eastAsia" w:ascii="宋体" w:hAnsi="宋体" w:eastAsia="宋体" w:cs="宋体"/>
                <w:color w:val="000000"/>
                <w:sz w:val="21"/>
                <w:szCs w:val="21"/>
                <w:highlight w:val="none"/>
                <w:lang w:val="en"/>
              </w:rPr>
            </w:pPr>
            <w:r>
              <w:rPr>
                <w:rFonts w:hint="eastAsia" w:ascii="宋体" w:hAnsi="宋体" w:eastAsia="宋体" w:cs="宋体"/>
                <w:b/>
                <w:bCs/>
                <w:color w:val="000000"/>
                <w:sz w:val="21"/>
                <w:szCs w:val="21"/>
                <w:highlight w:val="none"/>
                <w:lang w:val="en"/>
              </w:rPr>
              <w:t>第二十</w:t>
            </w:r>
            <w:r>
              <w:rPr>
                <w:rFonts w:hint="eastAsia" w:ascii="宋体" w:hAnsi="宋体" w:eastAsia="宋体" w:cs="宋体"/>
                <w:b/>
                <w:bCs/>
                <w:color w:val="000000"/>
                <w:sz w:val="21"/>
                <w:szCs w:val="21"/>
                <w:highlight w:val="none"/>
                <w:lang w:val="en" w:eastAsia="zh-CN"/>
              </w:rPr>
              <w:t>四</w:t>
            </w:r>
            <w:r>
              <w:rPr>
                <w:rFonts w:hint="eastAsia" w:ascii="宋体" w:hAnsi="宋体" w:eastAsia="宋体" w:cs="宋体"/>
                <w:b/>
                <w:bCs/>
                <w:color w:val="000000"/>
                <w:sz w:val="21"/>
                <w:szCs w:val="21"/>
                <w:highlight w:val="none"/>
                <w:lang w:val="en"/>
              </w:rPr>
              <w:t xml:space="preserve">条  </w:t>
            </w:r>
            <w:r>
              <w:rPr>
                <w:rFonts w:hint="eastAsia" w:ascii="宋体" w:hAnsi="宋体" w:eastAsia="宋体" w:cs="宋体"/>
                <w:color w:val="000000"/>
                <w:sz w:val="21"/>
                <w:szCs w:val="21"/>
                <w:highlight w:val="none"/>
              </w:rPr>
              <w:t>行政监督部门</w:t>
            </w:r>
            <w:r>
              <w:rPr>
                <w:rFonts w:hint="eastAsia" w:ascii="宋体" w:hAnsi="宋体" w:eastAsia="宋体" w:cs="宋体"/>
                <w:color w:val="000000"/>
                <w:sz w:val="21"/>
                <w:szCs w:val="21"/>
                <w:highlight w:val="none"/>
                <w:lang w:eastAsia="zh-CN"/>
              </w:rPr>
              <w:t>应当</w:t>
            </w:r>
            <w:r>
              <w:rPr>
                <w:rFonts w:hint="eastAsia" w:ascii="宋体" w:hAnsi="宋体" w:eastAsia="宋体" w:cs="宋体"/>
                <w:color w:val="000000"/>
                <w:sz w:val="21"/>
                <w:szCs w:val="21"/>
                <w:highlight w:val="none"/>
                <w:lang w:val="en"/>
              </w:rPr>
              <w:t>在项目《中标通知书》发出</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lang w:val="en"/>
              </w:rPr>
              <w:t>个工作日以内</w:t>
            </w:r>
            <w:r>
              <w:rPr>
                <w:rFonts w:hint="eastAsia" w:ascii="宋体" w:hAnsi="宋体" w:eastAsia="宋体" w:cs="宋体"/>
                <w:color w:val="000000"/>
                <w:sz w:val="21"/>
                <w:szCs w:val="21"/>
                <w:highlight w:val="none"/>
                <w:lang w:val="en" w:eastAsia="zh-CN"/>
              </w:rPr>
              <w:t>完成“一代理一评价”</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
              </w:rPr>
              <w:t>逾期未评价的，视为无需扣分。</w:t>
            </w:r>
          </w:p>
          <w:p>
            <w:pPr>
              <w:numPr>
                <w:ilvl w:val="0"/>
                <w:numId w:val="0"/>
              </w:numPr>
              <w:adjustRightInd w:val="0"/>
              <w:snapToGrid w:val="0"/>
              <w:spacing w:beforeLines="0" w:after="0" w:afterLines="0" w:line="24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单个项目评价得分在该项目《中标通知书》发出</w:t>
            </w:r>
            <w:r>
              <w:rPr>
                <w:rFonts w:hint="eastAsia" w:ascii="宋体" w:hAnsi="宋体" w:eastAsia="宋体" w:cs="宋体"/>
                <w:color w:val="000000"/>
                <w:sz w:val="21"/>
                <w:szCs w:val="21"/>
                <w:highlight w:val="none"/>
                <w:lang w:val="en"/>
              </w:rPr>
              <w:t>后第</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lang w:val="en"/>
              </w:rPr>
              <w:t>个工作日</w:t>
            </w:r>
            <w:r>
              <w:rPr>
                <w:rFonts w:hint="eastAsia" w:ascii="宋体" w:hAnsi="宋体" w:eastAsia="宋体" w:cs="宋体"/>
                <w:color w:val="000000"/>
                <w:sz w:val="21"/>
                <w:szCs w:val="21"/>
                <w:highlight w:val="none"/>
              </w:rPr>
              <w:t>确定</w:t>
            </w:r>
            <w:r>
              <w:rPr>
                <w:rFonts w:hint="eastAsia" w:ascii="宋体" w:hAnsi="宋体" w:eastAsia="宋体" w:cs="宋体"/>
                <w:color w:val="000000"/>
                <w:sz w:val="21"/>
                <w:szCs w:val="21"/>
                <w:highlight w:val="none"/>
                <w:lang w:eastAsia="zh-CN"/>
              </w:rPr>
              <w:t>，并对外公示</w:t>
            </w:r>
            <w:r>
              <w:rPr>
                <w:rFonts w:hint="eastAsia" w:ascii="宋体" w:hAnsi="宋体" w:eastAsia="宋体" w:cs="宋体"/>
                <w:color w:val="000000"/>
                <w:sz w:val="21"/>
                <w:szCs w:val="21"/>
                <w:highlight w:val="none"/>
              </w:rPr>
              <w:t>。</w:t>
            </w:r>
          </w:p>
          <w:p>
            <w:pPr>
              <w:numPr>
                <w:ilvl w:val="0"/>
                <w:numId w:val="0"/>
              </w:numPr>
              <w:adjustRightInd w:val="0"/>
              <w:snapToGrid w:val="0"/>
              <w:spacing w:beforeLines="0" w:after="0" w:afterLines="0" w:line="24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评价得分确定及公示后发现存在需扣分情形的，可以追评，追评后系统对“一代理一评价”结果予以更新，并同步更新公示。</w:t>
            </w:r>
          </w:p>
          <w:p>
            <w:pPr>
              <w:numPr>
                <w:ilvl w:val="0"/>
                <w:numId w:val="0"/>
              </w:numPr>
              <w:adjustRightInd w:val="0"/>
              <w:snapToGrid w:val="0"/>
              <w:spacing w:before="0" w:beforeLines="0" w:after="0" w:afterLines="0" w:line="240" w:lineRule="auto"/>
              <w:ind w:firstLine="422" w:firstLineChars="200"/>
              <w:jc w:val="left"/>
              <w:rPr>
                <w:rFonts w:hint="eastAsia" w:ascii="宋体" w:hAnsi="宋体" w:eastAsia="宋体" w:cs="宋体"/>
                <w:b w:val="0"/>
                <w:bCs w:val="0"/>
                <w:color w:val="000000"/>
                <w:sz w:val="21"/>
                <w:szCs w:val="21"/>
                <w:highlight w:val="none"/>
              </w:rPr>
            </w:pPr>
            <w:r>
              <w:rPr>
                <w:rFonts w:hint="eastAsia" w:ascii="宋体" w:hAnsi="宋体" w:eastAsia="宋体" w:cs="宋体"/>
                <w:b/>
                <w:bCs/>
                <w:color w:val="000000"/>
                <w:sz w:val="21"/>
                <w:szCs w:val="21"/>
                <w:highlight w:val="none"/>
                <w:lang w:val="en-US" w:eastAsia="zh-CN"/>
              </w:rPr>
              <w:t xml:space="preserve">第二十五条  </w:t>
            </w:r>
            <w:r>
              <w:rPr>
                <w:rFonts w:hint="eastAsia" w:ascii="宋体" w:hAnsi="宋体" w:eastAsia="宋体" w:cs="宋体"/>
                <w:b w:val="0"/>
                <w:bCs w:val="0"/>
                <w:color w:val="000000"/>
                <w:sz w:val="21"/>
                <w:szCs w:val="21"/>
                <w:highlight w:val="none"/>
              </w:rPr>
              <w:t>“一代理一评价”</w:t>
            </w:r>
            <w:r>
              <w:rPr>
                <w:rFonts w:hint="eastAsia" w:ascii="宋体" w:hAnsi="宋体" w:eastAsia="宋体" w:cs="宋体"/>
                <w:b w:val="0"/>
                <w:bCs w:val="0"/>
                <w:color w:val="000000"/>
                <w:sz w:val="21"/>
                <w:szCs w:val="21"/>
                <w:highlight w:val="none"/>
                <w:lang w:eastAsia="zh-CN"/>
              </w:rPr>
              <w:t>得分及具体扣分情况经系统对接，</w:t>
            </w:r>
            <w:r>
              <w:rPr>
                <w:rFonts w:hint="eastAsia" w:ascii="宋体" w:hAnsi="宋体" w:eastAsia="宋体" w:cs="宋体"/>
                <w:b w:val="0"/>
                <w:bCs w:val="0"/>
                <w:color w:val="000000"/>
                <w:sz w:val="21"/>
                <w:szCs w:val="21"/>
                <w:highlight w:val="none"/>
              </w:rPr>
              <w:t>通过湖南省招标投标监管网、各行业招标投标监管网或招投标信息发布网站、各公共资源交易服务平台对外公示，并纳入对招标代理机构的信用评价。</w:t>
            </w:r>
          </w:p>
          <w:p>
            <w:pPr>
              <w:numPr>
                <w:ilvl w:val="0"/>
                <w:numId w:val="0"/>
              </w:numPr>
              <w:adjustRightInd w:val="0"/>
              <w:snapToGrid w:val="0"/>
              <w:spacing w:beforeLines="0" w:afterLines="0" w:line="240" w:lineRule="auto"/>
              <w:ind w:firstLine="422" w:firstLineChars="200"/>
              <w:jc w:val="left"/>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第二十六条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b w:val="0"/>
                <w:bCs w:val="0"/>
                <w:color w:val="000000"/>
                <w:sz w:val="21"/>
                <w:szCs w:val="21"/>
                <w:highlight w:val="none"/>
                <w:lang w:val="en-US" w:eastAsia="zh-CN"/>
              </w:rPr>
              <w:t>除本办法规定的</w:t>
            </w:r>
            <w:r>
              <w:rPr>
                <w:rFonts w:hint="eastAsia" w:ascii="宋体" w:hAnsi="宋体" w:eastAsia="宋体" w:cs="宋体"/>
                <w:b w:val="0"/>
                <w:bCs w:val="0"/>
                <w:color w:val="000000"/>
                <w:sz w:val="21"/>
                <w:szCs w:val="21"/>
                <w:highlight w:val="none"/>
              </w:rPr>
              <w:t>“一代理一评价”</w:t>
            </w:r>
            <w:r>
              <w:rPr>
                <w:rFonts w:hint="eastAsia" w:ascii="宋体" w:hAnsi="宋体" w:eastAsia="宋体" w:cs="宋体"/>
                <w:b w:val="0"/>
                <w:bCs w:val="0"/>
                <w:color w:val="000000"/>
                <w:sz w:val="21"/>
                <w:szCs w:val="21"/>
                <w:highlight w:val="none"/>
                <w:lang w:val="en-US" w:eastAsia="zh-CN"/>
              </w:rPr>
              <w:t>不规范情形以外，</w:t>
            </w:r>
            <w:r>
              <w:rPr>
                <w:rFonts w:hint="eastAsia" w:ascii="宋体" w:hAnsi="宋体" w:eastAsia="宋体" w:cs="宋体"/>
                <w:b w:val="0"/>
                <w:bCs w:val="0"/>
                <w:color w:val="000000"/>
                <w:sz w:val="21"/>
                <w:szCs w:val="21"/>
                <w:highlight w:val="none"/>
                <w:lang w:eastAsia="zh-CN"/>
              </w:rPr>
              <w:t>省级行政监督部门对本行业招标代理机构及项目负责人不规范情形有更多规定的，按其规定执行，评价扣分情况一并纳入招标代理机构及项目负责人“一代理一评价”结果。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u w:val="single"/>
              </w:rPr>
            </w:pPr>
            <w:r>
              <w:rPr>
                <w:rFonts w:hint="eastAsia" w:ascii="宋体" w:hAnsi="宋体" w:eastAsia="宋体" w:cs="宋体"/>
                <w:b/>
                <w:bCs/>
                <w:color w:val="000000"/>
                <w:sz w:val="21"/>
                <w:szCs w:val="21"/>
                <w:highlight w:val="none"/>
              </w:rPr>
              <w:t>第二十一条</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u w:val="single"/>
              </w:rPr>
              <w:t>各级招投标行政监督部门应当加强对招标代理活动的监督管理，对招标代理机构的违法违规行为依法进行处罚，对认定的违法违规行为及处罚结果按照《湖南省公共资源交易失信行为联合惩戒办法》的规定予以联合惩戒。</w:t>
            </w:r>
          </w:p>
        </w:tc>
        <w:tc>
          <w:tcPr>
            <w:tcW w:w="7279" w:type="dxa"/>
            <w:noWrap w:val="0"/>
            <w:vAlign w:val="top"/>
          </w:tcPr>
          <w:p>
            <w:pPr>
              <w:adjustRightInd w:val="0"/>
              <w:snapToGrid w:val="0"/>
              <w:spacing w:before="0" w:beforeLines="0" w:after="0" w:afterLines="0" w:line="240" w:lineRule="auto"/>
              <w:ind w:firstLine="0"/>
              <w:jc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第六章</w:t>
            </w:r>
            <w:r>
              <w:rPr>
                <w:rFonts w:hint="eastAsia" w:ascii="宋体" w:hAnsi="宋体" w:eastAsia="宋体" w:cs="宋体"/>
                <w:b/>
                <w:bCs/>
                <w:color w:val="000000"/>
                <w:sz w:val="21"/>
                <w:szCs w:val="21"/>
                <w:highlight w:val="none"/>
                <w:lang w:val="en-US" w:eastAsia="zh-CN"/>
              </w:rPr>
              <w:t xml:space="preserve"> 违法犯罪行为惩戒</w:t>
            </w:r>
          </w:p>
          <w:p>
            <w:pPr>
              <w:adjustRightInd w:val="0"/>
              <w:snapToGrid w:val="0"/>
              <w:spacing w:beforeLines="0" w:afterLines="0" w:line="240" w:lineRule="auto"/>
              <w:ind w:firstLine="422" w:firstLineChars="200"/>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三</w:t>
            </w:r>
            <w:r>
              <w:rPr>
                <w:rFonts w:hint="eastAsia" w:ascii="宋体" w:hAnsi="宋体" w:eastAsia="宋体" w:cs="宋体"/>
                <w:b/>
                <w:bCs/>
                <w:color w:val="000000"/>
                <w:sz w:val="21"/>
                <w:szCs w:val="21"/>
                <w:highlight w:val="none"/>
              </w:rPr>
              <w:t>十</w:t>
            </w:r>
            <w:r>
              <w:rPr>
                <w:rFonts w:hint="eastAsia" w:ascii="宋体" w:hAnsi="宋体" w:eastAsia="宋体" w:cs="宋体"/>
                <w:b/>
                <w:bCs/>
                <w:color w:val="000000"/>
                <w:sz w:val="21"/>
                <w:szCs w:val="21"/>
                <w:highlight w:val="none"/>
                <w:lang w:eastAsia="zh-CN"/>
              </w:rPr>
              <w:t>五</w:t>
            </w:r>
            <w:r>
              <w:rPr>
                <w:rFonts w:hint="eastAsia" w:ascii="宋体" w:hAnsi="宋体" w:eastAsia="宋体" w:cs="宋体"/>
                <w:b/>
                <w:bCs/>
                <w:color w:val="000000"/>
                <w:sz w:val="21"/>
                <w:szCs w:val="21"/>
                <w:highlight w:val="none"/>
              </w:rPr>
              <w:t xml:space="preserve">条  </w:t>
            </w:r>
            <w:r>
              <w:rPr>
                <w:rFonts w:hint="eastAsia" w:ascii="宋体" w:hAnsi="宋体" w:eastAsia="宋体" w:cs="宋体"/>
                <w:b/>
                <w:bCs/>
                <w:color w:val="000000"/>
                <w:sz w:val="21"/>
                <w:szCs w:val="21"/>
                <w:highlight w:val="none"/>
                <w:lang w:eastAsia="zh-CN"/>
              </w:rPr>
              <w:t>招标代理机构及从业人员存在违法行为、应当给予行政处罚的，行政监督部门应当依法实施行政处罚，并按照规定纳入信用记录；需给予处分或者涉嫌犯罪的，应当及时向有关机关移送。</w:t>
            </w:r>
          </w:p>
          <w:p>
            <w:pPr>
              <w:numPr>
                <w:ilvl w:val="0"/>
                <w:numId w:val="0"/>
              </w:numPr>
              <w:adjustRightInd w:val="0"/>
              <w:snapToGrid w:val="0"/>
              <w:spacing w:beforeLines="0" w:afterLines="0" w:line="240" w:lineRule="auto"/>
              <w:ind w:firstLine="422" w:firstLineChars="200"/>
              <w:jc w:val="left"/>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第三十六条</w:t>
            </w:r>
            <w:r>
              <w:rPr>
                <w:rFonts w:hint="eastAsia" w:ascii="宋体" w:hAnsi="宋体" w:eastAsia="宋体" w:cs="宋体"/>
                <w:b/>
                <w:bCs/>
                <w:color w:val="000000"/>
                <w:sz w:val="21"/>
                <w:szCs w:val="21"/>
                <w:highlight w:val="none"/>
                <w:lang w:val="en-US" w:eastAsia="zh-CN"/>
              </w:rPr>
              <w:t xml:space="preserve">  </w:t>
            </w:r>
            <w:r>
              <w:rPr>
                <w:rFonts w:hint="eastAsia" w:ascii="宋体" w:hAnsi="宋体" w:eastAsia="宋体" w:cs="宋体"/>
                <w:b/>
                <w:bCs/>
                <w:color w:val="000000"/>
                <w:sz w:val="21"/>
                <w:szCs w:val="21"/>
                <w:highlight w:val="none"/>
                <w:lang w:eastAsia="zh-CN"/>
              </w:rPr>
              <w:t>招标代理机构及从业人员存在</w:t>
            </w:r>
            <w:r>
              <w:rPr>
                <w:rFonts w:hint="eastAsia" w:ascii="宋体" w:hAnsi="宋体" w:eastAsia="宋体" w:cs="宋体"/>
                <w:b/>
                <w:bCs/>
                <w:color w:val="000000"/>
                <w:sz w:val="21"/>
                <w:szCs w:val="21"/>
                <w:highlight w:val="none"/>
              </w:rPr>
              <w:t>公共资源交易领域严重失信行为</w:t>
            </w:r>
            <w:r>
              <w:rPr>
                <w:rFonts w:hint="eastAsia" w:ascii="宋体" w:hAnsi="宋体" w:eastAsia="宋体" w:cs="宋体"/>
                <w:b/>
                <w:bCs/>
                <w:color w:val="000000"/>
                <w:sz w:val="21"/>
                <w:szCs w:val="21"/>
                <w:highlight w:val="none"/>
                <w:lang w:eastAsia="zh-CN"/>
              </w:rPr>
              <w:t>的，行政监督部门应当会同有关部门按照有关</w:t>
            </w:r>
            <w:r>
              <w:rPr>
                <w:rFonts w:hint="eastAsia" w:ascii="宋体" w:hAnsi="宋体" w:eastAsia="宋体" w:cs="宋体"/>
                <w:b/>
                <w:bCs/>
                <w:color w:val="000000"/>
                <w:sz w:val="21"/>
                <w:szCs w:val="21"/>
                <w:highlight w:val="none"/>
              </w:rPr>
              <w:t>规定予以联合惩戒。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第二十二条</w:t>
            </w:r>
            <w:r>
              <w:rPr>
                <w:rFonts w:hint="eastAsia" w:ascii="宋体" w:hAnsi="宋体" w:eastAsia="宋体" w:cs="宋体"/>
                <w:color w:val="000000"/>
                <w:sz w:val="21"/>
                <w:szCs w:val="21"/>
                <w:highlight w:val="none"/>
              </w:rPr>
              <w:t xml:space="preserve">  各级招投标行政监督部门对招标代理活动中违法违规情节轻微，未达到行政处罚标准</w:t>
            </w:r>
            <w:r>
              <w:rPr>
                <w:rFonts w:hint="eastAsia" w:ascii="宋体" w:hAnsi="宋体" w:eastAsia="宋体" w:cs="宋体"/>
                <w:color w:val="000000"/>
                <w:sz w:val="21"/>
                <w:szCs w:val="21"/>
                <w:highlight w:val="none"/>
                <w:u w:val="single"/>
              </w:rPr>
              <w:t>，或代理行为不规范、违反相关规定的行为，</w:t>
            </w:r>
            <w:r>
              <w:rPr>
                <w:rFonts w:hint="eastAsia" w:ascii="宋体" w:hAnsi="宋体" w:eastAsia="宋体" w:cs="宋体"/>
                <w:color w:val="000000"/>
                <w:sz w:val="21"/>
                <w:szCs w:val="21"/>
                <w:highlight w:val="none"/>
              </w:rPr>
              <w:t>实行记录管理。</w:t>
            </w:r>
          </w:p>
          <w:p>
            <w:pPr>
              <w:adjustRightInd w:val="0"/>
              <w:snapToGrid w:val="0"/>
              <w:spacing w:beforeLines="0" w:afterLines="0" w:line="240" w:lineRule="auto"/>
              <w:ind w:firstLine="640" w:firstLineChars="0"/>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根据招标代理活动中违规情节轻重，将招标代理机构及其项目负责人的不良行为分为一般不良行为和严重不良行为。</w:t>
            </w:r>
          </w:p>
        </w:tc>
        <w:tc>
          <w:tcPr>
            <w:tcW w:w="7279" w:type="dxa"/>
            <w:noWrap w:val="0"/>
            <w:vAlign w:val="top"/>
          </w:tcPr>
          <w:p>
            <w:pPr>
              <w:adjustRightInd w:val="0"/>
              <w:snapToGrid w:val="0"/>
              <w:spacing w:beforeLines="0" w:afterLines="0" w:line="240" w:lineRule="auto"/>
              <w:ind w:firstLine="42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第二十</w:t>
            </w:r>
            <w:r>
              <w:rPr>
                <w:rFonts w:hint="eastAsia" w:ascii="宋体" w:hAnsi="宋体" w:eastAsia="宋体" w:cs="宋体"/>
                <w:b/>
                <w:color w:val="000000"/>
                <w:sz w:val="21"/>
                <w:szCs w:val="21"/>
                <w:highlight w:val="none"/>
                <w:lang w:eastAsia="zh-CN"/>
              </w:rPr>
              <w:t>七</w:t>
            </w:r>
            <w:r>
              <w:rPr>
                <w:rFonts w:hint="eastAsia" w:ascii="宋体" w:hAnsi="宋体" w:eastAsia="宋体" w:cs="宋体"/>
                <w:b/>
                <w:color w:val="000000"/>
                <w:sz w:val="21"/>
                <w:szCs w:val="21"/>
                <w:highlight w:val="none"/>
              </w:rPr>
              <w:t>条</w:t>
            </w:r>
            <w:r>
              <w:rPr>
                <w:rFonts w:hint="eastAsia" w:ascii="宋体" w:hAnsi="宋体" w:eastAsia="宋体" w:cs="宋体"/>
                <w:color w:val="000000"/>
                <w:sz w:val="21"/>
                <w:szCs w:val="21"/>
                <w:highlight w:val="none"/>
              </w:rPr>
              <w:t xml:space="preserve">  各级招投标行政监督部门对招标代理活动中违法违规情节轻微，未达到行政处罚标准的行为实行记录管理。</w:t>
            </w:r>
          </w:p>
          <w:p>
            <w:pPr>
              <w:numPr>
                <w:ilvl w:val="0"/>
                <w:numId w:val="0"/>
              </w:numPr>
              <w:adjustRightInd w:val="0"/>
              <w:snapToGrid w:val="0"/>
              <w:spacing w:beforeLines="0" w:afterLines="0" w:line="240" w:lineRule="auto"/>
              <w:ind w:firstLine="420" w:firstLineChars="0"/>
              <w:jc w:val="left"/>
              <w:rPr>
                <w:rFonts w:hint="eastAsia" w:ascii="宋体" w:hAnsi="宋体" w:eastAsia="宋体" w:cs="宋体"/>
                <w:b/>
                <w:bCs/>
                <w:color w:val="000000"/>
                <w:sz w:val="21"/>
                <w:szCs w:val="21"/>
                <w:highlight w:val="none"/>
                <w:lang w:eastAsia="zh-CN"/>
              </w:rPr>
            </w:pPr>
            <w:r>
              <w:rPr>
                <w:rFonts w:hint="eastAsia" w:ascii="宋体" w:hAnsi="宋体" w:eastAsia="宋体" w:cs="宋体"/>
                <w:color w:val="000000"/>
                <w:sz w:val="21"/>
                <w:szCs w:val="21"/>
                <w:highlight w:val="none"/>
              </w:rPr>
              <w:t>根据招标代理活动中</w:t>
            </w:r>
            <w:r>
              <w:rPr>
                <w:rFonts w:hint="eastAsia" w:ascii="宋体" w:hAnsi="宋体" w:eastAsia="宋体" w:cs="宋体"/>
                <w:b/>
                <w:bCs/>
                <w:color w:val="000000"/>
                <w:sz w:val="21"/>
                <w:szCs w:val="21"/>
                <w:highlight w:val="none"/>
                <w:lang w:eastAsia="zh-CN"/>
              </w:rPr>
              <w:t>违法</w:t>
            </w:r>
            <w:r>
              <w:rPr>
                <w:rFonts w:hint="eastAsia" w:ascii="宋体" w:hAnsi="宋体" w:eastAsia="宋体" w:cs="宋体"/>
                <w:color w:val="000000"/>
                <w:sz w:val="21"/>
                <w:szCs w:val="21"/>
                <w:highlight w:val="none"/>
              </w:rPr>
              <w:t>违规情节轻重，将招标代理机构及其项目负责人的不良行为分为一般不良行为和严重不良行为。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422" w:firstLineChars="20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 xml:space="preserve">第二十三条  </w:t>
            </w:r>
            <w:r>
              <w:rPr>
                <w:rFonts w:hint="eastAsia" w:ascii="宋体" w:hAnsi="宋体" w:eastAsia="宋体" w:cs="宋体"/>
                <w:color w:val="000000"/>
                <w:sz w:val="21"/>
                <w:szCs w:val="21"/>
                <w:highlight w:val="none"/>
              </w:rPr>
              <w:t>招标代理机构存在下列行为之一的，由行政监督部门认定为一般不良行为：</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（一）招标代理机构在核查中发现未及时变更和更新相关信息，被认定为“核查不通过”的；</w:t>
            </w:r>
          </w:p>
          <w:p>
            <w:pPr>
              <w:adjustRightInd w:val="0"/>
              <w:snapToGrid w:val="0"/>
              <w:spacing w:beforeLines="0" w:afterLines="0" w:line="240" w:lineRule="auto"/>
              <w:ind w:firstLine="420" w:firstLineChars="200"/>
              <w:rPr>
                <w:rFonts w:hint="eastAsia" w:ascii="宋体" w:hAnsi="宋体" w:eastAsia="宋体" w:cs="宋体"/>
                <w:color w:val="000000"/>
                <w:spacing w:val="-6"/>
                <w:sz w:val="21"/>
                <w:szCs w:val="21"/>
                <w:highlight w:val="none"/>
                <w:u w:val="single"/>
              </w:rPr>
            </w:pPr>
            <w:r>
              <w:rPr>
                <w:rFonts w:hint="eastAsia" w:ascii="宋体" w:hAnsi="宋体" w:eastAsia="宋体" w:cs="宋体"/>
                <w:color w:val="000000"/>
                <w:sz w:val="21"/>
                <w:szCs w:val="21"/>
                <w:highlight w:val="none"/>
                <w:u w:val="single"/>
              </w:rPr>
              <w:t>（二）</w:t>
            </w:r>
            <w:r>
              <w:rPr>
                <w:rFonts w:hint="eastAsia" w:ascii="宋体" w:hAnsi="宋体" w:eastAsia="宋体" w:cs="宋体"/>
                <w:color w:val="000000"/>
                <w:spacing w:val="-6"/>
                <w:sz w:val="21"/>
                <w:szCs w:val="21"/>
                <w:highlight w:val="none"/>
                <w:u w:val="single"/>
              </w:rPr>
              <w:t>未与招标人签订委托招标代理合同的，或实际代理活动的项目负责人与招标代理合同、招标文件中记载的人员不符的；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（三）不按照法律法规规章和行政监督部门的要求编制资格预审文件、招标文件，或</w:t>
            </w:r>
            <w:r>
              <w:rPr>
                <w:rFonts w:hint="eastAsia" w:ascii="宋体" w:hAnsi="宋体" w:eastAsia="宋体" w:cs="宋体"/>
                <w:color w:val="000000"/>
                <w:sz w:val="21"/>
                <w:szCs w:val="21"/>
                <w:highlight w:val="none"/>
              </w:rPr>
              <w:t>未使用省级行政监督部门颁发的标准文本范本的；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（四）编制的资格审查文件、招标文件中技术或商务条款模糊不清或者前后不一致，评标专家据此难以进行评审的;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（六）收取应当拒收的投标文件的；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（七）资格预审文件、招标文件的发售、澄清、修改的时限，或者确定的提交资格预审申请文件、投标文件的时限不符合法律法规规定的；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（八）未及时向资格预审申请人发出资格预审结果通知书，或未将资格预审结果告知不合格的潜在投标人；</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（九）对潜在投标人、投标人或者其他利害关系人依法递交的符合规定条件的书面异议予以拒收或未依法对符合规定条件的异议书面回复，或对投标人对开标现场提出的异议，未按规定作出答复，并制作记录的；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（十）未按规定公示中标候选人和中标结果、未按规定向中标人发出中标通知书的；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（十一）招标代理机构的项目负责人没有按要求到场组织开评标、处理异议和协助处理投诉等；</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（十二）违规收取招标文件</w:t>
            </w:r>
            <w:r>
              <w:rPr>
                <w:rFonts w:hint="eastAsia" w:ascii="宋体" w:hAnsi="宋体" w:eastAsia="宋体" w:cs="宋体"/>
                <w:color w:val="000000"/>
                <w:sz w:val="21"/>
                <w:szCs w:val="21"/>
                <w:highlight w:val="none"/>
                <w:u w:val="single"/>
              </w:rPr>
              <w:t>编制</w:t>
            </w:r>
            <w:r>
              <w:rPr>
                <w:rFonts w:hint="eastAsia" w:ascii="宋体" w:hAnsi="宋体" w:eastAsia="宋体" w:cs="宋体"/>
                <w:color w:val="000000"/>
                <w:sz w:val="21"/>
                <w:szCs w:val="21"/>
                <w:highlight w:val="none"/>
              </w:rPr>
              <w:t>费用的；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（十三）其他违规情节轻微的行为。</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对上述</w:t>
            </w:r>
            <w:r>
              <w:rPr>
                <w:rFonts w:hint="eastAsia" w:ascii="宋体" w:hAnsi="宋体" w:eastAsia="宋体" w:cs="宋体"/>
                <w:color w:val="000000"/>
                <w:sz w:val="21"/>
                <w:szCs w:val="21"/>
                <w:highlight w:val="none"/>
                <w:u w:val="single"/>
              </w:rPr>
              <w:t>第（三）项至第（十三）项行为</w:t>
            </w:r>
            <w:r>
              <w:rPr>
                <w:rFonts w:hint="eastAsia" w:ascii="宋体" w:hAnsi="宋体" w:eastAsia="宋体" w:cs="宋体"/>
                <w:color w:val="000000"/>
                <w:sz w:val="21"/>
                <w:szCs w:val="21"/>
                <w:highlight w:val="none"/>
              </w:rPr>
              <w:t>的，行政监督部门还应当对项目负责人认定为一般不良行为。</w:t>
            </w:r>
          </w:p>
        </w:tc>
        <w:tc>
          <w:tcPr>
            <w:tcW w:w="7279" w:type="dxa"/>
            <w:noWrap w:val="0"/>
            <w:vAlign w:val="top"/>
          </w:tcPr>
          <w:p>
            <w:pPr>
              <w:adjustRightInd w:val="0"/>
              <w:snapToGrid w:val="0"/>
              <w:spacing w:beforeLines="0" w:afterLines="0" w:line="240" w:lineRule="auto"/>
              <w:ind w:firstLine="422" w:firstLineChars="20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第二十</w:t>
            </w:r>
            <w:r>
              <w:rPr>
                <w:rFonts w:hint="eastAsia" w:ascii="宋体" w:hAnsi="宋体" w:eastAsia="宋体" w:cs="宋体"/>
                <w:b/>
                <w:bCs/>
                <w:color w:val="000000"/>
                <w:sz w:val="21"/>
                <w:szCs w:val="21"/>
                <w:highlight w:val="none"/>
                <w:lang w:eastAsia="zh-CN"/>
              </w:rPr>
              <w:t>八</w:t>
            </w:r>
            <w:r>
              <w:rPr>
                <w:rFonts w:hint="eastAsia" w:ascii="宋体" w:hAnsi="宋体" w:eastAsia="宋体" w:cs="宋体"/>
                <w:b/>
                <w:bCs/>
                <w:color w:val="000000"/>
                <w:sz w:val="21"/>
                <w:szCs w:val="21"/>
                <w:highlight w:val="none"/>
              </w:rPr>
              <w:t xml:space="preserve">条  </w:t>
            </w:r>
            <w:r>
              <w:rPr>
                <w:rFonts w:hint="eastAsia" w:ascii="宋体" w:hAnsi="宋体" w:eastAsia="宋体" w:cs="宋体"/>
                <w:color w:val="000000"/>
                <w:sz w:val="21"/>
                <w:szCs w:val="21"/>
                <w:highlight w:val="none"/>
              </w:rPr>
              <w:t>招标代理机构存在下列行为之一的，由行政监督部门认定为一般不良行为：</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w:t>
            </w:r>
            <w:r>
              <w:rPr>
                <w:rFonts w:hint="eastAsia" w:ascii="宋体" w:hAnsi="宋体" w:eastAsia="宋体" w:cs="宋体"/>
                <w:b/>
                <w:bCs/>
                <w:color w:val="000000"/>
                <w:sz w:val="21"/>
                <w:szCs w:val="21"/>
                <w:highlight w:val="none"/>
              </w:rPr>
              <w:t>除另有规定的外，</w:t>
            </w:r>
            <w:r>
              <w:rPr>
                <w:rFonts w:hint="eastAsia" w:ascii="宋体" w:hAnsi="宋体" w:eastAsia="宋体" w:cs="宋体"/>
                <w:color w:val="000000"/>
                <w:sz w:val="21"/>
                <w:szCs w:val="21"/>
                <w:highlight w:val="none"/>
              </w:rPr>
              <w:t>未使用省级行政监督部门颁发的标准文本范本</w:t>
            </w:r>
            <w:r>
              <w:rPr>
                <w:rFonts w:hint="eastAsia" w:ascii="宋体" w:hAnsi="宋体" w:eastAsia="宋体" w:cs="宋体"/>
                <w:b/>
                <w:bCs/>
                <w:color w:val="000000"/>
                <w:sz w:val="21"/>
                <w:szCs w:val="21"/>
                <w:highlight w:val="none"/>
                <w:lang w:eastAsia="zh-CN"/>
              </w:rPr>
              <w:t>编制资格预审文件、招标文件、资格预审公告、招标公告或者公示信息的</w:t>
            </w:r>
            <w:r>
              <w:rPr>
                <w:rFonts w:hint="eastAsia" w:ascii="宋体" w:hAnsi="宋体" w:eastAsia="宋体" w:cs="宋体"/>
                <w:color w:val="000000"/>
                <w:sz w:val="21"/>
                <w:szCs w:val="21"/>
                <w:highlight w:val="none"/>
              </w:rPr>
              <w:t>；</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rPr>
              <w:t>）</w:t>
            </w:r>
            <w:r>
              <w:rPr>
                <w:rFonts w:hint="eastAsia" w:ascii="宋体" w:hAnsi="宋体" w:eastAsia="宋体" w:cs="宋体"/>
                <w:b/>
                <w:bCs/>
                <w:color w:val="000000"/>
                <w:sz w:val="21"/>
                <w:szCs w:val="21"/>
                <w:highlight w:val="none"/>
                <w:lang w:val="en"/>
              </w:rPr>
              <w:t>拒收应当收取的</w:t>
            </w:r>
            <w:r>
              <w:rPr>
                <w:rFonts w:hint="eastAsia" w:ascii="宋体" w:hAnsi="宋体" w:eastAsia="宋体" w:cs="宋体"/>
                <w:b/>
                <w:bCs/>
                <w:color w:val="000000"/>
                <w:sz w:val="21"/>
                <w:szCs w:val="21"/>
                <w:highlight w:val="none"/>
                <w:lang w:val="en" w:eastAsia="zh-CN"/>
              </w:rPr>
              <w:t>资格预审文件、</w:t>
            </w:r>
            <w:r>
              <w:rPr>
                <w:rFonts w:hint="eastAsia" w:ascii="宋体" w:hAnsi="宋体" w:eastAsia="宋体" w:cs="宋体"/>
                <w:b/>
                <w:bCs/>
                <w:color w:val="000000"/>
                <w:sz w:val="21"/>
                <w:szCs w:val="21"/>
                <w:highlight w:val="none"/>
                <w:lang w:val="en"/>
              </w:rPr>
              <w:t>投标文件，</w:t>
            </w:r>
            <w:r>
              <w:rPr>
                <w:rFonts w:hint="eastAsia" w:ascii="宋体" w:hAnsi="宋体" w:eastAsia="宋体" w:cs="宋体"/>
                <w:b/>
                <w:bCs/>
                <w:color w:val="000000"/>
                <w:sz w:val="21"/>
                <w:szCs w:val="21"/>
                <w:highlight w:val="none"/>
                <w:lang w:val="en" w:eastAsia="zh-CN"/>
              </w:rPr>
              <w:t>或者</w:t>
            </w:r>
            <w:r>
              <w:rPr>
                <w:rFonts w:hint="eastAsia" w:ascii="宋体" w:hAnsi="宋体" w:eastAsia="宋体" w:cs="宋体"/>
                <w:color w:val="000000"/>
                <w:sz w:val="21"/>
                <w:szCs w:val="21"/>
                <w:highlight w:val="none"/>
              </w:rPr>
              <w:t>收取应当拒收的</w:t>
            </w:r>
            <w:r>
              <w:rPr>
                <w:rFonts w:hint="eastAsia" w:ascii="宋体" w:hAnsi="宋体" w:eastAsia="宋体" w:cs="宋体"/>
                <w:b/>
                <w:bCs/>
                <w:color w:val="000000"/>
                <w:sz w:val="21"/>
                <w:szCs w:val="21"/>
                <w:highlight w:val="none"/>
                <w:lang w:eastAsia="zh-CN"/>
              </w:rPr>
              <w:t>资格预审文件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投标文件的；</w:t>
            </w:r>
          </w:p>
          <w:p>
            <w:pPr>
              <w:keepNext w:val="0"/>
              <w:keepLines w:val="0"/>
              <w:widowControl/>
              <w:suppressLineNumbers w:val="0"/>
              <w:adjustRightInd w:val="0"/>
              <w:snapToGrid w:val="0"/>
              <w:spacing w:beforeLines="0" w:afterLines="0" w:line="24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bidi="ar"/>
              </w:rPr>
              <w:t>（三）依法应当公开招标的项目不按照规定在指定媒介发布资格预审公告、招标公告或者公示信息的；</w:t>
            </w:r>
          </w:p>
          <w:p>
            <w:pPr>
              <w:keepNext w:val="0"/>
              <w:keepLines w:val="0"/>
              <w:widowControl/>
              <w:suppressLineNumbers w:val="0"/>
              <w:adjustRightInd w:val="0"/>
              <w:snapToGrid w:val="0"/>
              <w:spacing w:beforeLines="0" w:afterLines="0" w:line="240" w:lineRule="auto"/>
              <w:ind w:firstLine="422" w:firstLineChars="20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kern w:val="2"/>
                <w:sz w:val="21"/>
                <w:szCs w:val="21"/>
                <w:highlight w:val="none"/>
                <w:lang w:val="en-US" w:eastAsia="zh-CN" w:bidi="ar"/>
              </w:rPr>
              <w:t>（四）在不同媒介发布的同一招标项目的资格预审公告、招标公告或者公示信息的内容不一致的；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五</w:t>
            </w:r>
            <w:r>
              <w:rPr>
                <w:rFonts w:hint="eastAsia" w:ascii="宋体" w:hAnsi="宋体" w:eastAsia="宋体" w:cs="宋体"/>
                <w:color w:val="000000"/>
                <w:sz w:val="21"/>
                <w:szCs w:val="21"/>
                <w:highlight w:val="none"/>
              </w:rPr>
              <w:t>）资格预审文件、招标文件的发售、澄清、修改的时限，或者确定的提交资格预审申请文件、投标文件的时限不符合法律法规规定的；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）违规收取</w:t>
            </w:r>
            <w:r>
              <w:rPr>
                <w:rFonts w:hint="eastAsia" w:ascii="宋体" w:hAnsi="宋体" w:eastAsia="宋体" w:cs="宋体"/>
                <w:b/>
                <w:bCs/>
                <w:color w:val="000000"/>
                <w:sz w:val="21"/>
                <w:szCs w:val="21"/>
                <w:highlight w:val="none"/>
                <w:lang w:eastAsia="zh-CN"/>
              </w:rPr>
              <w:t>购买</w:t>
            </w:r>
            <w:r>
              <w:rPr>
                <w:rFonts w:hint="eastAsia" w:ascii="宋体" w:hAnsi="宋体" w:eastAsia="宋体" w:cs="宋体"/>
                <w:color w:val="000000"/>
                <w:sz w:val="21"/>
                <w:szCs w:val="21"/>
                <w:highlight w:val="none"/>
              </w:rPr>
              <w:t>招标文件费用的；</w:t>
            </w:r>
          </w:p>
          <w:p>
            <w:pPr>
              <w:adjustRightInd w:val="0"/>
              <w:snapToGrid w:val="0"/>
              <w:spacing w:beforeLines="0" w:afterLines="0" w:line="240" w:lineRule="auto"/>
              <w:ind w:firstLine="422" w:firstLineChars="200"/>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（七）按照约定以上的金额收取招标代理服务费，或者向约定以外的对象收取招标代理服务费的；</w:t>
            </w:r>
          </w:p>
          <w:p>
            <w:pPr>
              <w:adjustRightInd w:val="0"/>
              <w:snapToGrid w:val="0"/>
              <w:spacing w:beforeLines="0" w:afterLines="0"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八</w:t>
            </w:r>
            <w:r>
              <w:rPr>
                <w:rFonts w:hint="eastAsia" w:ascii="宋体" w:hAnsi="宋体" w:eastAsia="宋体" w:cs="宋体"/>
                <w:color w:val="000000"/>
                <w:sz w:val="21"/>
                <w:szCs w:val="21"/>
                <w:highlight w:val="none"/>
              </w:rPr>
              <w:t>）其他违规情节轻微的行为。</w:t>
            </w:r>
          </w:p>
          <w:p>
            <w:pPr>
              <w:numPr>
                <w:ilvl w:val="0"/>
                <w:numId w:val="0"/>
              </w:numPr>
              <w:adjustRightInd w:val="0"/>
              <w:snapToGrid w:val="0"/>
              <w:spacing w:beforeLines="0" w:afterLines="0" w:line="24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w:t>
            </w:r>
            <w:r>
              <w:rPr>
                <w:rFonts w:hint="eastAsia" w:ascii="宋体" w:hAnsi="宋体" w:eastAsia="宋体" w:cs="宋体"/>
                <w:color w:val="000000"/>
                <w:sz w:val="21"/>
                <w:szCs w:val="21"/>
                <w:highlight w:val="none"/>
                <w:lang w:eastAsia="zh-CN"/>
              </w:rPr>
              <w:t>存在</w:t>
            </w:r>
            <w:r>
              <w:rPr>
                <w:rFonts w:hint="eastAsia" w:ascii="宋体" w:hAnsi="宋体" w:eastAsia="宋体" w:cs="宋体"/>
                <w:color w:val="000000"/>
                <w:sz w:val="21"/>
                <w:szCs w:val="21"/>
                <w:highlight w:val="none"/>
              </w:rPr>
              <w:t>上述</w:t>
            </w: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一</w:t>
            </w:r>
            <w:r>
              <w:rPr>
                <w:rFonts w:hint="eastAsia" w:ascii="宋体" w:hAnsi="宋体" w:eastAsia="宋体" w:cs="宋体"/>
                <w:b/>
                <w:bCs/>
                <w:color w:val="000000"/>
                <w:sz w:val="21"/>
                <w:szCs w:val="21"/>
                <w:highlight w:val="none"/>
              </w:rPr>
              <w:t>）项至第（</w:t>
            </w:r>
            <w:r>
              <w:rPr>
                <w:rFonts w:hint="eastAsia" w:ascii="宋体" w:hAnsi="宋体" w:eastAsia="宋体" w:cs="宋体"/>
                <w:b/>
                <w:bCs/>
                <w:color w:val="000000"/>
                <w:sz w:val="21"/>
                <w:szCs w:val="21"/>
                <w:highlight w:val="none"/>
                <w:lang w:eastAsia="zh-CN"/>
              </w:rPr>
              <w:t>七</w:t>
            </w:r>
            <w:r>
              <w:rPr>
                <w:rFonts w:hint="eastAsia" w:ascii="宋体" w:hAnsi="宋体" w:eastAsia="宋体" w:cs="宋体"/>
                <w:b/>
                <w:bCs/>
                <w:color w:val="000000"/>
                <w:sz w:val="21"/>
                <w:szCs w:val="21"/>
                <w:highlight w:val="none"/>
              </w:rPr>
              <w:t>）项行为</w:t>
            </w:r>
            <w:r>
              <w:rPr>
                <w:rFonts w:hint="eastAsia" w:ascii="宋体" w:hAnsi="宋体" w:eastAsia="宋体" w:cs="宋体"/>
                <w:color w:val="000000"/>
                <w:sz w:val="21"/>
                <w:szCs w:val="21"/>
                <w:highlight w:val="none"/>
              </w:rPr>
              <w:t>的，行政监督部门还应当对项目负责人认定为一般不良行为。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第二十四条</w:t>
            </w:r>
            <w:r>
              <w:rPr>
                <w:rFonts w:hint="eastAsia" w:ascii="宋体" w:hAnsi="宋体" w:eastAsia="宋体" w:cs="宋体"/>
                <w:color w:val="000000"/>
                <w:sz w:val="21"/>
                <w:szCs w:val="21"/>
                <w:highlight w:val="none"/>
              </w:rPr>
              <w:t xml:space="preserve">  招标代理机构存在下列行为之一的，由行政监督部门认定为严重不良行为：</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（一）在核查中发现招标代理机构在信息管理系统故意填写虚假信息或提供虚假证明材料的；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（二）采取行贿、提供回扣或者给予其他不正当利益等手段承接</w:t>
            </w:r>
            <w:r>
              <w:rPr>
                <w:rFonts w:hint="eastAsia" w:ascii="宋体" w:hAnsi="宋体" w:eastAsia="宋体" w:cs="宋体"/>
                <w:color w:val="000000"/>
                <w:sz w:val="21"/>
                <w:szCs w:val="21"/>
                <w:highlight w:val="none"/>
                <w:u w:val="single"/>
              </w:rPr>
              <w:t>工程</w:t>
            </w:r>
            <w:r>
              <w:rPr>
                <w:rFonts w:hint="eastAsia" w:ascii="宋体" w:hAnsi="宋体" w:eastAsia="宋体" w:cs="宋体"/>
                <w:color w:val="000000"/>
                <w:sz w:val="21"/>
                <w:szCs w:val="21"/>
                <w:highlight w:val="none"/>
              </w:rPr>
              <w:t>招标代理业务；</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（三）明知委托事项违法而进行代理；</w:t>
            </w:r>
          </w:p>
          <w:p>
            <w:pPr>
              <w:adjustRightInd w:val="0"/>
              <w:snapToGrid w:val="0"/>
              <w:spacing w:beforeLines="0" w:afterLines="0" w:line="240" w:lineRule="auto"/>
              <w:ind w:firstLine="64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（四）未经招标人同意，转让招标代理业务；</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（五）在所代理的招标项目中投标、代理投标或者向该项目投标人提供咨询的；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（六）与招标人或者投标人串通，损害国家利益、社会公共利益和他人合法权益的；</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u w:val="single"/>
              </w:rPr>
              <w:t>（七）参加受托编制标底项目的投标或者为该项目的投标人编制投标文件、提供咨询的；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（八）擅自修改经招标人或行政监督部门同意的</w:t>
            </w:r>
            <w:r>
              <w:rPr>
                <w:rFonts w:hint="eastAsia" w:ascii="宋体" w:hAnsi="宋体" w:eastAsia="宋体" w:cs="宋体"/>
                <w:color w:val="000000"/>
                <w:sz w:val="21"/>
                <w:szCs w:val="21"/>
                <w:highlight w:val="none"/>
                <w:u w:val="single"/>
              </w:rPr>
              <w:t>工程</w:t>
            </w:r>
            <w:r>
              <w:rPr>
                <w:rFonts w:hint="eastAsia" w:ascii="宋体" w:hAnsi="宋体" w:eastAsia="宋体" w:cs="宋体"/>
                <w:color w:val="000000"/>
                <w:sz w:val="21"/>
                <w:szCs w:val="21"/>
                <w:highlight w:val="none"/>
              </w:rPr>
              <w:t>招标代理成果文件；</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（九）</w:t>
            </w:r>
            <w:r>
              <w:rPr>
                <w:rFonts w:hint="eastAsia" w:ascii="宋体" w:hAnsi="宋体" w:eastAsia="宋体" w:cs="宋体"/>
                <w:color w:val="000000"/>
                <w:sz w:val="21"/>
                <w:szCs w:val="21"/>
                <w:highlight w:val="none"/>
                <w:u w:val="single"/>
              </w:rPr>
              <w:t>招标代理机构</w:t>
            </w:r>
            <w:r>
              <w:rPr>
                <w:rFonts w:hint="eastAsia" w:ascii="宋体" w:hAnsi="宋体" w:eastAsia="宋体" w:cs="宋体"/>
                <w:color w:val="000000"/>
                <w:sz w:val="21"/>
                <w:szCs w:val="21"/>
                <w:highlight w:val="none"/>
              </w:rPr>
              <w:t>改变载明的资格条件或者以没有载明的资格条件，组织对投标人或者潜在投标人进行资格审查；</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（十）向评标委员会提供带有明示或者暗示倾向或者排斥特定投标人的信息、故意误导评标专家、违法干扰评标过程的；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（十一）对行政监督部门处理投诉中查阅、复制有关文件、资料等调查行为不予以配合，或存在不如实提供资料及情况，拒绝、隐匿或者瞒报行为的；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（十二）泄露应当保密的与招标投标活动有关的情况和资料的；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（十三）对有关行政监督部门依法责令改正的决定拒不执行或者以弄虚作假方式隐瞒真相；</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（十四）因招标代理机构或项目负责人的过失，投诉处理结果为招标无效或中标无效的；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（十五）一年内存在三次一般不良行为的；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（十六）其他严重违法违规行为。</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对上述</w:t>
            </w:r>
            <w:r>
              <w:rPr>
                <w:rFonts w:hint="eastAsia" w:ascii="宋体" w:hAnsi="宋体" w:eastAsia="宋体" w:cs="宋体"/>
                <w:color w:val="000000"/>
                <w:sz w:val="21"/>
                <w:szCs w:val="21"/>
                <w:highlight w:val="none"/>
                <w:u w:val="single"/>
              </w:rPr>
              <w:t>第（五）项至第（十四）项行为</w:t>
            </w:r>
            <w:r>
              <w:rPr>
                <w:rFonts w:hint="eastAsia" w:ascii="宋体" w:hAnsi="宋体" w:eastAsia="宋体" w:cs="宋体"/>
                <w:color w:val="000000"/>
                <w:sz w:val="21"/>
                <w:szCs w:val="21"/>
                <w:highlight w:val="none"/>
              </w:rPr>
              <w:t>的，行政监督部门还应当对项目负责人认定为严重不良行为。</w:t>
            </w:r>
          </w:p>
        </w:tc>
        <w:tc>
          <w:tcPr>
            <w:tcW w:w="7279"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第二十</w:t>
            </w:r>
            <w:r>
              <w:rPr>
                <w:rFonts w:hint="eastAsia" w:ascii="宋体" w:hAnsi="宋体" w:eastAsia="宋体" w:cs="宋体"/>
                <w:b/>
                <w:bCs/>
                <w:color w:val="000000"/>
                <w:sz w:val="21"/>
                <w:szCs w:val="21"/>
                <w:highlight w:val="none"/>
                <w:lang w:eastAsia="zh-CN"/>
              </w:rPr>
              <w:t>九</w:t>
            </w:r>
            <w:r>
              <w:rPr>
                <w:rFonts w:hint="eastAsia" w:ascii="宋体" w:hAnsi="宋体" w:eastAsia="宋体" w:cs="宋体"/>
                <w:b/>
                <w:bCs/>
                <w:color w:val="000000"/>
                <w:sz w:val="21"/>
                <w:szCs w:val="21"/>
                <w:highlight w:val="none"/>
              </w:rPr>
              <w:t>条</w:t>
            </w:r>
            <w:r>
              <w:rPr>
                <w:rFonts w:hint="eastAsia" w:ascii="宋体" w:hAnsi="宋体" w:eastAsia="宋体" w:cs="宋体"/>
                <w:color w:val="000000"/>
                <w:sz w:val="21"/>
                <w:szCs w:val="21"/>
                <w:highlight w:val="none"/>
              </w:rPr>
              <w:t xml:space="preserve">  招标代理机构存在下列行为之一的，由行政监督部门认定为严重不良行为：</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（一）在核查中发现在信息管理系统故意填写虚假信息或提供虚假证明材料的；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（二）采取行贿、提供回扣或者给予其他不正当利益等手段承接招标代理业务；</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（三）明知委托事项违法而进行代理；</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四</w:t>
            </w:r>
            <w:r>
              <w:rPr>
                <w:rFonts w:hint="eastAsia" w:ascii="宋体" w:hAnsi="宋体" w:eastAsia="宋体" w:cs="宋体"/>
                <w:color w:val="000000"/>
                <w:sz w:val="21"/>
                <w:szCs w:val="21"/>
                <w:highlight w:val="none"/>
              </w:rPr>
              <w:t>）与招标人或者投标人串通，损害国家利益、社会公共利益和他人合法权益的；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五</w:t>
            </w:r>
            <w:r>
              <w:rPr>
                <w:rFonts w:hint="eastAsia" w:ascii="宋体" w:hAnsi="宋体" w:eastAsia="宋体" w:cs="宋体"/>
                <w:color w:val="000000"/>
                <w:sz w:val="21"/>
                <w:szCs w:val="21"/>
                <w:highlight w:val="none"/>
              </w:rPr>
              <w:t>）擅自修改经招标人或行政监督部门同意的招标代理成果文件；</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）改变载明的资格条件或者以没有载明的资格条件，组织对投标人或者潜在投标人进行资格审查；</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七</w:t>
            </w:r>
            <w:r>
              <w:rPr>
                <w:rFonts w:hint="eastAsia" w:ascii="宋体" w:hAnsi="宋体" w:eastAsia="宋体" w:cs="宋体"/>
                <w:color w:val="000000"/>
                <w:sz w:val="21"/>
                <w:szCs w:val="21"/>
                <w:highlight w:val="none"/>
              </w:rPr>
              <w:t>）向评标委员会提供带有明示或者暗示倾向或者排斥特定投标人的信息、故意误导评标专家、违法干扰评标过程的；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八</w:t>
            </w:r>
            <w:r>
              <w:rPr>
                <w:rFonts w:hint="eastAsia" w:ascii="宋体" w:hAnsi="宋体" w:eastAsia="宋体" w:cs="宋体"/>
                <w:color w:val="000000"/>
                <w:sz w:val="21"/>
                <w:szCs w:val="21"/>
                <w:highlight w:val="none"/>
              </w:rPr>
              <w:t>）对行政监督部门处理投诉</w:t>
            </w:r>
            <w:r>
              <w:rPr>
                <w:rFonts w:hint="eastAsia" w:ascii="宋体" w:hAnsi="宋体" w:eastAsia="宋体" w:cs="宋体"/>
                <w:b/>
                <w:bCs/>
                <w:color w:val="000000"/>
                <w:sz w:val="21"/>
                <w:szCs w:val="21"/>
                <w:highlight w:val="none"/>
                <w:lang w:eastAsia="zh-CN"/>
              </w:rPr>
              <w:t>、标后稽查</w:t>
            </w:r>
            <w:r>
              <w:rPr>
                <w:rFonts w:hint="eastAsia" w:ascii="宋体" w:hAnsi="宋体" w:eastAsia="宋体" w:cs="宋体"/>
                <w:color w:val="000000"/>
                <w:sz w:val="21"/>
                <w:szCs w:val="21"/>
                <w:highlight w:val="none"/>
              </w:rPr>
              <w:t>中查阅、复制有关文件、资料等调查行为不予以配合，或存在不如实提供资料及情况，拒绝、隐匿或者瞒报行为的；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九</w:t>
            </w:r>
            <w:r>
              <w:rPr>
                <w:rFonts w:hint="eastAsia" w:ascii="宋体" w:hAnsi="宋体" w:eastAsia="宋体" w:cs="宋体"/>
                <w:color w:val="000000"/>
                <w:sz w:val="21"/>
                <w:szCs w:val="21"/>
                <w:highlight w:val="none"/>
              </w:rPr>
              <w:t>）泄露应当保密的与招标投标活动有关的情况和资料的；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十</w:t>
            </w:r>
            <w:r>
              <w:rPr>
                <w:rFonts w:hint="eastAsia" w:ascii="宋体" w:hAnsi="宋体" w:eastAsia="宋体" w:cs="宋体"/>
                <w:color w:val="000000"/>
                <w:sz w:val="21"/>
                <w:szCs w:val="21"/>
                <w:highlight w:val="none"/>
              </w:rPr>
              <w:t>）对有关行政监督部门依法责令改正的决定拒不执行或者以弄虚作假方式隐瞒真相；</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十一</w:t>
            </w:r>
            <w:r>
              <w:rPr>
                <w:rFonts w:hint="eastAsia" w:ascii="宋体" w:hAnsi="宋体" w:eastAsia="宋体" w:cs="宋体"/>
                <w:color w:val="000000"/>
                <w:sz w:val="21"/>
                <w:szCs w:val="21"/>
                <w:highlight w:val="none"/>
              </w:rPr>
              <w:t>）因招标代理机构或项目负责人的过失，投诉处理结果为招标无效或中标无效的；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w:t>
            </w: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rPr>
              <w:t>）一年内存在三次一般不良行为的；</w:t>
            </w:r>
          </w:p>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（十</w:t>
            </w:r>
            <w:r>
              <w:rPr>
                <w:rFonts w:hint="eastAsia" w:ascii="宋体" w:hAnsi="宋体" w:eastAsia="宋体" w:cs="宋体"/>
                <w:color w:val="000000"/>
                <w:sz w:val="21"/>
                <w:szCs w:val="21"/>
                <w:highlight w:val="none"/>
                <w:lang w:eastAsia="zh-CN"/>
              </w:rPr>
              <w:t>三</w:t>
            </w:r>
            <w:r>
              <w:rPr>
                <w:rFonts w:hint="eastAsia" w:ascii="宋体" w:hAnsi="宋体" w:eastAsia="宋体" w:cs="宋体"/>
                <w:color w:val="000000"/>
                <w:sz w:val="21"/>
                <w:szCs w:val="21"/>
                <w:highlight w:val="none"/>
              </w:rPr>
              <w:t>）其他严重违法违规行为。</w:t>
            </w:r>
          </w:p>
          <w:p>
            <w:pPr>
              <w:numPr>
                <w:ilvl w:val="0"/>
                <w:numId w:val="0"/>
              </w:numPr>
              <w:adjustRightInd w:val="0"/>
              <w:snapToGrid w:val="0"/>
              <w:spacing w:beforeLines="0" w:afterLines="0" w:line="240" w:lineRule="auto"/>
              <w:ind w:firstLine="640" w:firstLineChars="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对存在上述第（一）项行为的、与从业人员有关的，行政监督部门还应当</w:t>
            </w:r>
            <w:r>
              <w:rPr>
                <w:rFonts w:hint="eastAsia" w:ascii="宋体" w:hAnsi="宋体" w:eastAsia="宋体" w:cs="宋体"/>
                <w:b/>
                <w:bCs/>
                <w:color w:val="000000"/>
                <w:sz w:val="21"/>
                <w:szCs w:val="21"/>
                <w:highlight w:val="none"/>
                <w:lang w:eastAsia="zh-CN"/>
              </w:rPr>
              <w:t>对</w:t>
            </w:r>
            <w:r>
              <w:rPr>
                <w:rFonts w:hint="eastAsia" w:ascii="宋体" w:hAnsi="宋体" w:eastAsia="宋体" w:cs="宋体"/>
                <w:b/>
                <w:bCs/>
                <w:color w:val="000000"/>
                <w:sz w:val="21"/>
                <w:szCs w:val="21"/>
                <w:highlight w:val="none"/>
              </w:rPr>
              <w:t>从业人员认定为严重不良行为。</w:t>
            </w:r>
          </w:p>
          <w:p>
            <w:pPr>
              <w:numPr>
                <w:ilvl w:val="0"/>
                <w:numId w:val="0"/>
              </w:numPr>
              <w:adjustRightInd w:val="0"/>
              <w:snapToGrid w:val="0"/>
              <w:spacing w:beforeLines="0" w:afterLines="0" w:line="240" w:lineRule="auto"/>
              <w:ind w:firstLine="640" w:firstLineChars="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对存在上述第</w:t>
            </w:r>
            <w:r>
              <w:rPr>
                <w:rFonts w:hint="eastAsia" w:ascii="宋体" w:hAnsi="宋体" w:eastAsia="宋体" w:cs="宋体"/>
                <w:b/>
                <w:bCs/>
                <w:color w:val="000000"/>
                <w:sz w:val="21"/>
                <w:szCs w:val="21"/>
                <w:highlight w:val="none"/>
              </w:rPr>
              <w:t>（二）</w:t>
            </w:r>
            <w:r>
              <w:rPr>
                <w:rFonts w:hint="eastAsia" w:ascii="宋体" w:hAnsi="宋体" w:eastAsia="宋体" w:cs="宋体"/>
                <w:color w:val="000000"/>
                <w:sz w:val="21"/>
                <w:szCs w:val="21"/>
                <w:highlight w:val="none"/>
              </w:rPr>
              <w:t>项至第</w:t>
            </w:r>
            <w:r>
              <w:rPr>
                <w:rFonts w:hint="eastAsia" w:ascii="宋体" w:hAnsi="宋体" w:eastAsia="宋体" w:cs="宋体"/>
                <w:b/>
                <w:bCs/>
                <w:color w:val="000000"/>
                <w:sz w:val="21"/>
                <w:szCs w:val="21"/>
                <w:highlight w:val="none"/>
              </w:rPr>
              <w:t>（十一）</w:t>
            </w:r>
            <w:r>
              <w:rPr>
                <w:rFonts w:hint="eastAsia" w:ascii="宋体" w:hAnsi="宋体" w:eastAsia="宋体" w:cs="宋体"/>
                <w:color w:val="000000"/>
                <w:sz w:val="21"/>
                <w:szCs w:val="21"/>
                <w:highlight w:val="none"/>
              </w:rPr>
              <w:t>项行为的，行政监督部门还应当</w:t>
            </w:r>
            <w:r>
              <w:rPr>
                <w:rFonts w:hint="eastAsia" w:ascii="宋体" w:hAnsi="宋体" w:eastAsia="宋体" w:cs="宋体"/>
                <w:color w:val="000000"/>
                <w:sz w:val="21"/>
                <w:szCs w:val="21"/>
                <w:highlight w:val="none"/>
                <w:lang w:eastAsia="zh-CN"/>
              </w:rPr>
              <w:t>对</w:t>
            </w:r>
            <w:r>
              <w:rPr>
                <w:rFonts w:hint="eastAsia" w:ascii="宋体" w:hAnsi="宋体" w:eastAsia="宋体" w:cs="宋体"/>
                <w:color w:val="000000"/>
                <w:sz w:val="21"/>
                <w:szCs w:val="21"/>
                <w:highlight w:val="none"/>
              </w:rPr>
              <w:t>项目负责人认定为严重不良行为。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第二十八条</w:t>
            </w:r>
            <w:r>
              <w:rPr>
                <w:rFonts w:hint="eastAsia" w:ascii="宋体" w:hAnsi="宋体" w:eastAsia="宋体" w:cs="宋体"/>
                <w:color w:val="000000"/>
                <w:sz w:val="21"/>
                <w:szCs w:val="21"/>
                <w:highlight w:val="none"/>
              </w:rPr>
              <w:t xml:space="preserve">  认定为一般不良行为的，认定结论记入招标代理机构及项目负责人信息管理系统，公示期一年。公示期满后，将相关信息转入后台保存。</w:t>
            </w:r>
          </w:p>
        </w:tc>
        <w:tc>
          <w:tcPr>
            <w:tcW w:w="7279" w:type="dxa"/>
            <w:noWrap w:val="0"/>
            <w:vAlign w:val="top"/>
          </w:tcPr>
          <w:p>
            <w:pPr>
              <w:numPr>
                <w:ilvl w:val="0"/>
                <w:numId w:val="0"/>
              </w:numPr>
              <w:adjustRightInd w:val="0"/>
              <w:snapToGrid w:val="0"/>
              <w:spacing w:beforeLines="0" w:afterLines="0" w:line="240" w:lineRule="auto"/>
              <w:ind w:firstLine="640" w:firstLineChars="0"/>
              <w:jc w:val="left"/>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三十三</w:t>
            </w:r>
            <w:r>
              <w:rPr>
                <w:rFonts w:hint="eastAsia" w:ascii="宋体" w:hAnsi="宋体" w:eastAsia="宋体" w:cs="宋体"/>
                <w:b/>
                <w:bCs/>
                <w:color w:val="000000"/>
                <w:sz w:val="21"/>
                <w:szCs w:val="21"/>
                <w:highlight w:val="none"/>
              </w:rPr>
              <w:t>条</w:t>
            </w:r>
            <w:r>
              <w:rPr>
                <w:rFonts w:hint="eastAsia" w:ascii="宋体" w:hAnsi="宋体" w:eastAsia="宋体" w:cs="宋体"/>
                <w:color w:val="000000"/>
                <w:sz w:val="21"/>
                <w:szCs w:val="21"/>
                <w:highlight w:val="none"/>
              </w:rPr>
              <w:t xml:space="preserve">  认定为一般不良行为的，认定结论记入招标代理机构及项目负责人信息管理系统，公示期一年</w:t>
            </w:r>
            <w:r>
              <w:rPr>
                <w:rFonts w:hint="eastAsia" w:ascii="宋体" w:hAnsi="宋体" w:eastAsia="宋体" w:cs="宋体"/>
                <w:b/>
                <w:bCs/>
                <w:color w:val="000000"/>
                <w:sz w:val="21"/>
                <w:szCs w:val="21"/>
                <w:highlight w:val="none"/>
                <w:lang w:eastAsia="zh-CN"/>
              </w:rPr>
              <w:t>（省级行政监督部门对本行业公示时限另有规定的，按其规定执行）</w:t>
            </w:r>
            <w:r>
              <w:rPr>
                <w:rFonts w:hint="eastAsia" w:ascii="宋体" w:hAnsi="宋体" w:eastAsia="宋体" w:cs="宋体"/>
                <w:color w:val="000000"/>
                <w:sz w:val="21"/>
                <w:szCs w:val="21"/>
                <w:highlight w:val="none"/>
              </w:rPr>
              <w:t>。公示期满后，将相关信息转入后台保存。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第二十九条</w:t>
            </w:r>
            <w:r>
              <w:rPr>
                <w:rFonts w:hint="eastAsia" w:ascii="宋体" w:hAnsi="宋体" w:eastAsia="宋体" w:cs="宋体"/>
                <w:color w:val="000000"/>
                <w:sz w:val="21"/>
                <w:szCs w:val="21"/>
                <w:highlight w:val="none"/>
              </w:rPr>
              <w:t xml:space="preserve">  认定为严重不良行为的，认定结论记入招标代理机构及项目负责人信息管理系统，公示期二年。公示期满后，将相关信息转入后台保存。</w:t>
            </w:r>
          </w:p>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省级招投标行政监督部门应当按照《湖南省公共资源交易失信行为联合惩戒办法》的规定，将本行业和领域内招标活动中认定为严重不良行为的招标代理机构及人员纳入失信行为，按程序在湖南省公共资源交易服务平台公开发布。</w:t>
            </w:r>
          </w:p>
        </w:tc>
        <w:tc>
          <w:tcPr>
            <w:tcW w:w="7279" w:type="dxa"/>
            <w:noWrap w:val="0"/>
            <w:vAlign w:val="top"/>
          </w:tcPr>
          <w:p>
            <w:pPr>
              <w:numPr>
                <w:ilvl w:val="0"/>
                <w:numId w:val="0"/>
              </w:numPr>
              <w:adjustRightInd w:val="0"/>
              <w:snapToGrid w:val="0"/>
              <w:spacing w:beforeLines="0" w:afterLines="0" w:line="240" w:lineRule="auto"/>
              <w:ind w:firstLine="640" w:firstLineChars="0"/>
              <w:jc w:val="left"/>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三十四</w:t>
            </w:r>
            <w:r>
              <w:rPr>
                <w:rFonts w:hint="eastAsia" w:ascii="宋体" w:hAnsi="宋体" w:eastAsia="宋体" w:cs="宋体"/>
                <w:b/>
                <w:bCs/>
                <w:color w:val="000000"/>
                <w:sz w:val="21"/>
                <w:szCs w:val="21"/>
                <w:highlight w:val="none"/>
              </w:rPr>
              <w:t>条</w:t>
            </w:r>
            <w:r>
              <w:rPr>
                <w:rFonts w:hint="eastAsia" w:ascii="宋体" w:hAnsi="宋体" w:eastAsia="宋体" w:cs="宋体"/>
                <w:color w:val="000000"/>
                <w:sz w:val="21"/>
                <w:szCs w:val="21"/>
                <w:highlight w:val="none"/>
              </w:rPr>
              <w:t xml:space="preserve">  认定为严重不良行为的，认定结论记入招标代理机构及项目负责人信息管理系统，公示期二年</w:t>
            </w:r>
            <w:r>
              <w:rPr>
                <w:rFonts w:hint="eastAsia" w:ascii="宋体" w:hAnsi="宋体" w:eastAsia="宋体" w:cs="宋体"/>
                <w:b/>
                <w:bCs/>
                <w:color w:val="000000"/>
                <w:sz w:val="21"/>
                <w:szCs w:val="21"/>
                <w:highlight w:val="none"/>
                <w:lang w:eastAsia="zh-CN"/>
              </w:rPr>
              <w:t>（省级行政监督部门对本行业公示时限另有规定的，按其规定执行）</w:t>
            </w:r>
            <w:r>
              <w:rPr>
                <w:rFonts w:hint="eastAsia" w:ascii="宋体" w:hAnsi="宋体" w:eastAsia="宋体" w:cs="宋体"/>
                <w:color w:val="000000"/>
                <w:sz w:val="21"/>
                <w:szCs w:val="21"/>
                <w:highlight w:val="none"/>
              </w:rPr>
              <w:t>。公示期满后，将相关信息转入后台保存。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640" w:firstLineChars="0"/>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u w:val="single"/>
              </w:rPr>
              <w:t>第三十条</w:t>
            </w:r>
            <w:r>
              <w:rPr>
                <w:rFonts w:hint="eastAsia" w:ascii="宋体" w:hAnsi="宋体" w:eastAsia="宋体" w:cs="宋体"/>
                <w:color w:val="000000"/>
                <w:sz w:val="21"/>
                <w:szCs w:val="21"/>
                <w:highlight w:val="none"/>
                <w:u w:val="single"/>
              </w:rPr>
              <w:t xml:space="preserve">  省级招投标行政监督部门可以根据行业实际，对按照本办法登记的招标代理机构及从业人员，建立行业和领域的信用评价体系，并面向社会公开。</w:t>
            </w:r>
          </w:p>
        </w:tc>
        <w:tc>
          <w:tcPr>
            <w:tcW w:w="7279" w:type="dxa"/>
            <w:noWrap w:val="0"/>
            <w:vAlign w:val="top"/>
          </w:tcPr>
          <w:p>
            <w:pPr>
              <w:adjustRightInd w:val="0"/>
              <w:snapToGrid w:val="0"/>
              <w:spacing w:before="0" w:beforeLines="0" w:after="0" w:afterLines="0" w:line="240" w:lineRule="auto"/>
              <w:ind w:firstLine="0"/>
              <w:jc w:val="center"/>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七</w:t>
            </w:r>
            <w:r>
              <w:rPr>
                <w:rFonts w:hint="eastAsia" w:ascii="宋体" w:hAnsi="宋体" w:eastAsia="宋体" w:cs="宋体"/>
                <w:b/>
                <w:bCs/>
                <w:color w:val="000000"/>
                <w:sz w:val="21"/>
                <w:szCs w:val="21"/>
                <w:highlight w:val="none"/>
              </w:rPr>
              <w:t xml:space="preserve">章  </w:t>
            </w:r>
            <w:r>
              <w:rPr>
                <w:rFonts w:hint="eastAsia" w:ascii="宋体" w:hAnsi="宋体" w:eastAsia="宋体" w:cs="宋体"/>
                <w:b/>
                <w:bCs/>
                <w:color w:val="000000"/>
                <w:sz w:val="21"/>
                <w:szCs w:val="21"/>
                <w:highlight w:val="none"/>
                <w:lang w:eastAsia="zh-CN"/>
              </w:rPr>
              <w:t>其他要求</w:t>
            </w:r>
          </w:p>
          <w:p>
            <w:pPr>
              <w:adjustRightInd w:val="0"/>
              <w:snapToGrid w:val="0"/>
              <w:spacing w:beforeLines="0" w:afterLines="0" w:line="240" w:lineRule="auto"/>
              <w:ind w:firstLine="64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第三十七条</w:t>
            </w:r>
            <w:r>
              <w:rPr>
                <w:rFonts w:hint="eastAsia" w:ascii="宋体" w:hAnsi="宋体" w:eastAsia="宋体" w:cs="宋体"/>
                <w:b/>
                <w:bCs/>
                <w:color w:val="000000"/>
                <w:sz w:val="21"/>
                <w:szCs w:val="21"/>
                <w:highlight w:val="none"/>
                <w:lang w:val="en-US" w:eastAsia="zh-CN"/>
              </w:rPr>
              <w:t xml:space="preserve">  各公共资源交易平台服务机构应当加强对招标代理机构及项目负责人的现场管理，发现招标代理机构及项目负责人违法违规问题线索或者异常情形的，应当及时移交行政监督部门调查处理。行政监督部门应当向公共资源交易平台服务机构反馈调查处理情况。</w:t>
            </w:r>
          </w:p>
          <w:p>
            <w:pPr>
              <w:numPr>
                <w:ilvl w:val="0"/>
                <w:numId w:val="0"/>
              </w:numPr>
              <w:adjustRightInd w:val="0"/>
              <w:snapToGrid w:val="0"/>
              <w:spacing w:beforeLines="0" w:afterLines="0" w:line="240" w:lineRule="auto"/>
              <w:ind w:firstLine="640" w:firstLineChars="0"/>
              <w:jc w:val="left"/>
              <w:rPr>
                <w:rFonts w:hint="eastAsia" w:ascii="宋体" w:hAnsi="宋体" w:eastAsia="宋体" w:cs="宋体"/>
                <w:b/>
                <w:bCs/>
                <w:color w:val="000000"/>
                <w:sz w:val="21"/>
                <w:szCs w:val="21"/>
                <w:highlight w:val="none"/>
              </w:rPr>
            </w:pPr>
            <w:r>
              <w:rPr>
                <w:rFonts w:hint="eastAsia" w:ascii="宋体" w:hAnsi="宋体" w:eastAsia="宋体" w:cs="宋体"/>
                <w:b/>
                <w:bCs w:val="0"/>
                <w:color w:val="000000"/>
                <w:sz w:val="21"/>
                <w:szCs w:val="21"/>
                <w:highlight w:val="none"/>
              </w:rPr>
              <w:t>第三十</w:t>
            </w:r>
            <w:r>
              <w:rPr>
                <w:rFonts w:hint="eastAsia" w:ascii="宋体" w:hAnsi="宋体" w:eastAsia="宋体" w:cs="宋体"/>
                <w:b/>
                <w:bCs w:val="0"/>
                <w:color w:val="000000"/>
                <w:sz w:val="21"/>
                <w:szCs w:val="21"/>
                <w:highlight w:val="none"/>
                <w:lang w:eastAsia="zh-CN"/>
              </w:rPr>
              <w:t>二</w:t>
            </w:r>
            <w:r>
              <w:rPr>
                <w:rFonts w:hint="eastAsia" w:ascii="宋体" w:hAnsi="宋体" w:eastAsia="宋体" w:cs="宋体"/>
                <w:b/>
                <w:bCs w:val="0"/>
                <w:color w:val="000000"/>
                <w:sz w:val="21"/>
                <w:szCs w:val="21"/>
                <w:highlight w:val="none"/>
              </w:rPr>
              <w:t xml:space="preserve">条  </w:t>
            </w:r>
            <w:r>
              <w:rPr>
                <w:rFonts w:hint="eastAsia" w:ascii="宋体" w:hAnsi="宋体" w:eastAsia="宋体" w:cs="宋体"/>
                <w:b/>
                <w:bCs w:val="0"/>
                <w:color w:val="000000"/>
                <w:sz w:val="21"/>
                <w:szCs w:val="21"/>
                <w:highlight w:val="none"/>
                <w:lang w:eastAsia="zh-CN"/>
              </w:rPr>
              <w:t>省发展改革委应当牵头建立全省</w:t>
            </w:r>
            <w:r>
              <w:rPr>
                <w:rFonts w:hint="eastAsia" w:ascii="宋体" w:hAnsi="宋体" w:eastAsia="宋体" w:cs="宋体"/>
                <w:b/>
                <w:bCs w:val="0"/>
                <w:color w:val="000000"/>
                <w:sz w:val="21"/>
                <w:szCs w:val="21"/>
                <w:highlight w:val="none"/>
              </w:rPr>
              <w:t>招标代理机构及</w:t>
            </w:r>
            <w:r>
              <w:rPr>
                <w:rFonts w:hint="eastAsia" w:ascii="宋体" w:hAnsi="宋体" w:eastAsia="宋体" w:cs="宋体"/>
                <w:b/>
                <w:bCs w:val="0"/>
                <w:color w:val="000000"/>
                <w:sz w:val="21"/>
                <w:szCs w:val="21"/>
                <w:highlight w:val="none"/>
                <w:lang w:eastAsia="zh-CN"/>
              </w:rPr>
              <w:t>项目负责人信用评价体系</w:t>
            </w:r>
            <w:r>
              <w:rPr>
                <w:rFonts w:hint="eastAsia" w:ascii="宋体" w:hAnsi="宋体" w:eastAsia="宋体" w:cs="宋体"/>
                <w:b/>
                <w:bCs w:val="0"/>
                <w:color w:val="000000"/>
                <w:sz w:val="21"/>
                <w:szCs w:val="21"/>
                <w:highlight w:val="none"/>
              </w:rPr>
              <w:t>，并</w:t>
            </w:r>
            <w:r>
              <w:rPr>
                <w:rFonts w:hint="eastAsia" w:ascii="宋体" w:hAnsi="宋体" w:eastAsia="宋体" w:cs="宋体"/>
                <w:b/>
                <w:bCs w:val="0"/>
                <w:color w:val="000000"/>
                <w:sz w:val="21"/>
                <w:szCs w:val="21"/>
                <w:highlight w:val="none"/>
                <w:lang w:eastAsia="zh-CN"/>
              </w:rPr>
              <w:t>将评价结果</w:t>
            </w:r>
            <w:r>
              <w:rPr>
                <w:rFonts w:hint="eastAsia" w:ascii="宋体" w:hAnsi="宋体" w:eastAsia="宋体" w:cs="宋体"/>
                <w:b/>
                <w:bCs w:val="0"/>
                <w:color w:val="000000"/>
                <w:sz w:val="21"/>
                <w:szCs w:val="21"/>
                <w:highlight w:val="none"/>
              </w:rPr>
              <w:t>面向社会公开</w:t>
            </w:r>
            <w:r>
              <w:rPr>
                <w:rFonts w:hint="eastAsia" w:ascii="宋体" w:hAnsi="宋体" w:eastAsia="宋体" w:cs="宋体"/>
                <w:b/>
                <w:bCs w:val="0"/>
                <w:color w:val="000000"/>
                <w:sz w:val="21"/>
                <w:szCs w:val="21"/>
                <w:highlight w:val="none"/>
                <w:lang w:eastAsia="zh-CN"/>
              </w:rPr>
              <w:t>。</w:t>
            </w:r>
            <w:r>
              <w:rPr>
                <w:rFonts w:hint="eastAsia" w:ascii="宋体" w:hAnsi="宋体" w:eastAsia="宋体" w:cs="宋体"/>
                <w:b/>
                <w:bCs w:val="0"/>
                <w:color w:val="000000"/>
                <w:sz w:val="21"/>
                <w:szCs w:val="21"/>
                <w:highlight w:val="none"/>
              </w:rPr>
              <w:t>省级招投标行政监督部门可以</w:t>
            </w:r>
            <w:r>
              <w:rPr>
                <w:rFonts w:hint="eastAsia" w:ascii="宋体" w:hAnsi="宋体" w:eastAsia="宋体" w:cs="宋体"/>
                <w:b/>
                <w:bCs w:val="0"/>
                <w:color w:val="000000"/>
                <w:sz w:val="21"/>
                <w:szCs w:val="21"/>
                <w:highlight w:val="none"/>
                <w:lang w:eastAsia="zh-CN"/>
              </w:rPr>
              <w:t>在全省统一的招标代理机构及项目负责人信用评价体系框架下，结合</w:t>
            </w:r>
            <w:r>
              <w:rPr>
                <w:rFonts w:hint="eastAsia" w:ascii="宋体" w:hAnsi="宋体" w:eastAsia="宋体" w:cs="宋体"/>
                <w:b/>
                <w:bCs w:val="0"/>
                <w:color w:val="000000"/>
                <w:sz w:val="21"/>
                <w:szCs w:val="21"/>
                <w:highlight w:val="none"/>
              </w:rPr>
              <w:t>行业实际</w:t>
            </w:r>
            <w:r>
              <w:rPr>
                <w:rFonts w:hint="eastAsia" w:ascii="宋体" w:hAnsi="宋体" w:eastAsia="宋体" w:cs="宋体"/>
                <w:b/>
                <w:bCs w:val="0"/>
                <w:color w:val="000000"/>
                <w:sz w:val="21"/>
                <w:szCs w:val="21"/>
                <w:highlight w:val="none"/>
                <w:lang w:eastAsia="zh-CN"/>
              </w:rPr>
              <w:t>，</w:t>
            </w:r>
            <w:r>
              <w:rPr>
                <w:rFonts w:hint="eastAsia" w:ascii="宋体" w:hAnsi="宋体" w:eastAsia="宋体" w:cs="宋体"/>
                <w:b/>
                <w:bCs w:val="0"/>
                <w:color w:val="000000"/>
                <w:sz w:val="21"/>
                <w:szCs w:val="21"/>
                <w:highlight w:val="none"/>
              </w:rPr>
              <w:t>建立行业信用评价体系。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第六章  附则</w:t>
            </w:r>
          </w:p>
          <w:p>
            <w:pPr>
              <w:adjustRightInd w:val="0"/>
              <w:snapToGrid w:val="0"/>
              <w:spacing w:beforeLines="0" w:afterLines="0" w:line="240" w:lineRule="auto"/>
              <w:ind w:firstLine="386" w:firstLineChars="200"/>
              <w:rPr>
                <w:rFonts w:hint="eastAsia" w:ascii="宋体" w:hAnsi="宋体" w:eastAsia="宋体" w:cs="宋体"/>
                <w:color w:val="000000"/>
                <w:sz w:val="21"/>
                <w:szCs w:val="21"/>
                <w:highlight w:val="none"/>
              </w:rPr>
            </w:pPr>
            <w:r>
              <w:rPr>
                <w:rFonts w:hint="eastAsia" w:ascii="宋体" w:hAnsi="宋体" w:eastAsia="宋体" w:cs="宋体"/>
                <w:b/>
                <w:bCs/>
                <w:color w:val="000000"/>
                <w:spacing w:val="-9"/>
                <w:sz w:val="21"/>
                <w:szCs w:val="21"/>
                <w:highlight w:val="none"/>
              </w:rPr>
              <w:t>第三十一条</w:t>
            </w:r>
            <w:r>
              <w:rPr>
                <w:rFonts w:hint="eastAsia" w:ascii="宋体" w:hAnsi="宋体" w:eastAsia="宋体" w:cs="宋体"/>
                <w:color w:val="000000"/>
                <w:spacing w:val="-9"/>
                <w:sz w:val="21"/>
                <w:szCs w:val="21"/>
                <w:highlight w:val="none"/>
              </w:rPr>
              <w:t xml:space="preserve">  本办法自2020年10月1日起施行，有效期2年。</w:t>
            </w:r>
          </w:p>
        </w:tc>
        <w:tc>
          <w:tcPr>
            <w:tcW w:w="7279" w:type="dxa"/>
            <w:noWrap w:val="0"/>
            <w:vAlign w:val="top"/>
          </w:tcPr>
          <w:p>
            <w:pPr>
              <w:adjustRightInd w:val="0"/>
              <w:snapToGrid w:val="0"/>
              <w:spacing w:before="0" w:beforeLines="0" w:after="0" w:afterLines="0" w:line="240" w:lineRule="auto"/>
              <w:ind w:firstLine="0"/>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第</w:t>
            </w:r>
            <w:r>
              <w:rPr>
                <w:rFonts w:hint="eastAsia" w:ascii="宋体" w:hAnsi="宋体" w:eastAsia="宋体" w:cs="宋体"/>
                <w:b/>
                <w:bCs/>
                <w:color w:val="000000"/>
                <w:sz w:val="21"/>
                <w:szCs w:val="21"/>
                <w:highlight w:val="none"/>
                <w:lang w:eastAsia="zh-CN"/>
              </w:rPr>
              <w:t>八</w:t>
            </w:r>
            <w:r>
              <w:rPr>
                <w:rFonts w:hint="eastAsia" w:ascii="宋体" w:hAnsi="宋体" w:eastAsia="宋体" w:cs="宋体"/>
                <w:b/>
                <w:bCs/>
                <w:color w:val="000000"/>
                <w:sz w:val="21"/>
                <w:szCs w:val="21"/>
                <w:highlight w:val="none"/>
              </w:rPr>
              <w:t>章  附则</w:t>
            </w:r>
          </w:p>
          <w:p>
            <w:pPr>
              <w:numPr>
                <w:ilvl w:val="0"/>
                <w:numId w:val="0"/>
              </w:numPr>
              <w:adjustRightInd w:val="0"/>
              <w:snapToGrid w:val="0"/>
              <w:spacing w:beforeLines="0" w:afterLines="0" w:line="240" w:lineRule="auto"/>
              <w:ind w:firstLine="386" w:firstLineChars="200"/>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pacing w:val="-9"/>
                <w:sz w:val="21"/>
                <w:szCs w:val="21"/>
                <w:highlight w:val="none"/>
              </w:rPr>
              <w:t>第三十</w:t>
            </w:r>
            <w:r>
              <w:rPr>
                <w:rFonts w:hint="eastAsia" w:ascii="宋体" w:hAnsi="宋体" w:eastAsia="宋体" w:cs="宋体"/>
                <w:b/>
                <w:bCs/>
                <w:color w:val="000000"/>
                <w:spacing w:val="-9"/>
                <w:sz w:val="21"/>
                <w:szCs w:val="21"/>
                <w:highlight w:val="none"/>
                <w:lang w:eastAsia="zh-CN"/>
              </w:rPr>
              <w:t>三</w:t>
            </w:r>
            <w:r>
              <w:rPr>
                <w:rFonts w:hint="eastAsia" w:ascii="宋体" w:hAnsi="宋体" w:eastAsia="宋体" w:cs="宋体"/>
                <w:b/>
                <w:bCs/>
                <w:color w:val="000000"/>
                <w:spacing w:val="-9"/>
                <w:sz w:val="21"/>
                <w:szCs w:val="21"/>
                <w:highlight w:val="none"/>
              </w:rPr>
              <w:t>条</w:t>
            </w:r>
            <w:r>
              <w:rPr>
                <w:rFonts w:hint="eastAsia" w:ascii="宋体" w:hAnsi="宋体" w:eastAsia="宋体" w:cs="宋体"/>
                <w:color w:val="000000"/>
                <w:spacing w:val="-9"/>
                <w:sz w:val="21"/>
                <w:szCs w:val="21"/>
                <w:highlight w:val="none"/>
              </w:rPr>
              <w:t xml:space="preserve">  </w:t>
            </w:r>
            <w:r>
              <w:rPr>
                <w:rFonts w:hint="eastAsia" w:ascii="宋体" w:hAnsi="宋体" w:eastAsia="宋体" w:cs="宋体"/>
                <w:b/>
                <w:bCs/>
                <w:color w:val="000000"/>
                <w:spacing w:val="-9"/>
                <w:sz w:val="21"/>
                <w:szCs w:val="21"/>
                <w:highlight w:val="none"/>
              </w:rPr>
              <w:t>本办法自202</w:t>
            </w:r>
            <w:r>
              <w:rPr>
                <w:rFonts w:hint="eastAsia" w:ascii="宋体" w:hAnsi="宋体" w:eastAsia="宋体" w:cs="宋体"/>
                <w:b/>
                <w:bCs/>
                <w:color w:val="000000"/>
                <w:spacing w:val="-9"/>
                <w:sz w:val="21"/>
                <w:szCs w:val="21"/>
                <w:highlight w:val="none"/>
                <w:lang w:val="en-US" w:eastAsia="zh-CN"/>
              </w:rPr>
              <w:t>2</w:t>
            </w:r>
            <w:r>
              <w:rPr>
                <w:rFonts w:hint="eastAsia" w:ascii="宋体" w:hAnsi="宋体" w:eastAsia="宋体" w:cs="宋体"/>
                <w:b/>
                <w:bCs/>
                <w:color w:val="000000"/>
                <w:spacing w:val="-9"/>
                <w:sz w:val="21"/>
                <w:szCs w:val="21"/>
                <w:highlight w:val="none"/>
              </w:rPr>
              <w:t>年</w:t>
            </w:r>
            <w:r>
              <w:rPr>
                <w:rFonts w:hint="eastAsia" w:ascii="宋体" w:hAnsi="宋体" w:eastAsia="宋体" w:cs="宋体"/>
                <w:b/>
                <w:bCs/>
                <w:color w:val="000000"/>
                <w:spacing w:val="-9"/>
                <w:sz w:val="21"/>
                <w:szCs w:val="21"/>
                <w:highlight w:val="none"/>
                <w:lang w:val="en-US" w:eastAsia="zh-CN"/>
              </w:rPr>
              <w:t xml:space="preserve">  </w:t>
            </w:r>
            <w:r>
              <w:rPr>
                <w:rFonts w:hint="eastAsia" w:ascii="宋体" w:hAnsi="宋体" w:eastAsia="宋体" w:cs="宋体"/>
                <w:b/>
                <w:bCs/>
                <w:color w:val="000000"/>
                <w:spacing w:val="-9"/>
                <w:sz w:val="21"/>
                <w:szCs w:val="21"/>
                <w:highlight w:val="none"/>
              </w:rPr>
              <w:t>月</w:t>
            </w:r>
            <w:r>
              <w:rPr>
                <w:rFonts w:hint="eastAsia" w:ascii="宋体" w:hAnsi="宋体" w:eastAsia="宋体" w:cs="宋体"/>
                <w:b/>
                <w:bCs/>
                <w:color w:val="000000"/>
                <w:spacing w:val="-9"/>
                <w:sz w:val="21"/>
                <w:szCs w:val="21"/>
                <w:highlight w:val="none"/>
                <w:lang w:val="en-US" w:eastAsia="zh-CN"/>
              </w:rPr>
              <w:t xml:space="preserve">  </w:t>
            </w:r>
            <w:r>
              <w:rPr>
                <w:rFonts w:hint="eastAsia" w:ascii="宋体" w:hAnsi="宋体" w:eastAsia="宋体" w:cs="宋体"/>
                <w:b/>
                <w:bCs/>
                <w:color w:val="000000"/>
                <w:spacing w:val="-9"/>
                <w:sz w:val="21"/>
                <w:szCs w:val="21"/>
                <w:highlight w:val="none"/>
              </w:rPr>
              <w:t>日起施行，有效期</w:t>
            </w:r>
            <w:r>
              <w:rPr>
                <w:rFonts w:hint="eastAsia" w:ascii="宋体" w:hAnsi="宋体" w:eastAsia="宋体" w:cs="宋体"/>
                <w:b/>
                <w:bCs/>
                <w:color w:val="000000"/>
                <w:spacing w:val="-9"/>
                <w:sz w:val="21"/>
                <w:szCs w:val="21"/>
                <w:highlight w:val="none"/>
                <w:lang w:val="en-US" w:eastAsia="zh-CN"/>
              </w:rPr>
              <w:t>5</w:t>
            </w:r>
            <w:r>
              <w:rPr>
                <w:rFonts w:hint="eastAsia" w:ascii="宋体" w:hAnsi="宋体" w:eastAsia="宋体" w:cs="宋体"/>
                <w:b/>
                <w:bCs/>
                <w:color w:val="000000"/>
                <w:spacing w:val="-9"/>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2" w:type="dxa"/>
            <w:noWrap w:val="0"/>
            <w:vAlign w:val="top"/>
          </w:tcPr>
          <w:p>
            <w:pPr>
              <w:adjustRightInd w:val="0"/>
              <w:snapToGrid w:val="0"/>
              <w:spacing w:beforeLines="0" w:afterLines="0" w:line="240" w:lineRule="auto"/>
              <w:ind w:firstLine="386" w:firstLineChars="200"/>
              <w:rPr>
                <w:rFonts w:hint="eastAsia" w:ascii="宋体" w:hAnsi="宋体" w:eastAsia="宋体" w:cs="宋体"/>
                <w:b/>
                <w:bCs/>
                <w:color w:val="000000"/>
                <w:spacing w:val="-9"/>
                <w:sz w:val="21"/>
                <w:szCs w:val="21"/>
                <w:highlight w:val="none"/>
              </w:rPr>
            </w:pPr>
          </w:p>
        </w:tc>
        <w:tc>
          <w:tcPr>
            <w:tcW w:w="7279" w:type="dxa"/>
            <w:noWrap w:val="0"/>
            <w:vAlign w:val="top"/>
          </w:tcPr>
          <w:p>
            <w:pPr>
              <w:numPr>
                <w:ilvl w:val="0"/>
                <w:numId w:val="0"/>
              </w:numPr>
              <w:adjustRightInd w:val="0"/>
              <w:snapToGrid w:val="0"/>
              <w:spacing w:beforeLines="0" w:afterLines="0" w:line="240" w:lineRule="auto"/>
              <w:ind w:firstLine="386" w:firstLineChars="200"/>
              <w:jc w:val="left"/>
              <w:rPr>
                <w:rFonts w:hint="eastAsia" w:ascii="宋体" w:hAnsi="宋体" w:eastAsia="宋体" w:cs="宋体"/>
                <w:b/>
                <w:bCs/>
                <w:color w:val="000000"/>
                <w:spacing w:val="-9"/>
                <w:sz w:val="21"/>
                <w:szCs w:val="21"/>
                <w:highlight w:val="none"/>
                <w:lang w:val="en-US" w:eastAsia="zh-CN"/>
              </w:rPr>
            </w:pPr>
            <w:r>
              <w:rPr>
                <w:rFonts w:hint="eastAsia" w:ascii="宋体" w:hAnsi="宋体" w:eastAsia="宋体" w:cs="宋体"/>
                <w:b/>
                <w:bCs/>
                <w:color w:val="000000"/>
                <w:spacing w:val="-9"/>
                <w:sz w:val="21"/>
                <w:szCs w:val="21"/>
                <w:highlight w:val="none"/>
                <w:lang w:val="en" w:eastAsia="zh-CN"/>
              </w:rPr>
              <w:t>附件</w:t>
            </w:r>
            <w:r>
              <w:rPr>
                <w:rFonts w:hint="eastAsia" w:ascii="宋体" w:hAnsi="宋体" w:eastAsia="宋体" w:cs="宋体"/>
                <w:b/>
                <w:bCs/>
                <w:color w:val="000000"/>
                <w:spacing w:val="-9"/>
                <w:sz w:val="21"/>
                <w:szCs w:val="21"/>
                <w:highlight w:val="none"/>
                <w:lang w:val="en-US" w:eastAsia="zh-CN"/>
              </w:rPr>
              <w:t xml:space="preserve">2  </w:t>
            </w:r>
            <w:r>
              <w:rPr>
                <w:rFonts w:hint="eastAsia" w:ascii="宋体" w:hAnsi="宋体" w:eastAsia="宋体" w:cs="宋体"/>
                <w:color w:val="000000"/>
                <w:sz w:val="21"/>
                <w:szCs w:val="21"/>
                <w:highlight w:val="none"/>
                <w:lang w:val="en"/>
              </w:rPr>
              <w:t>“一代理一评价”中需扣分的不规范情形</w:t>
            </w:r>
          </w:p>
        </w:tc>
      </w:tr>
    </w:tbl>
    <w:p>
      <w:pPr>
        <w:spacing w:line="636" w:lineRule="exact"/>
        <w:jc w:val="both"/>
        <w:rPr>
          <w:rFonts w:hint="default" w:eastAsia="仿宋_GB2312"/>
          <w:kern w:val="0"/>
          <w:szCs w:val="32"/>
          <w:highlight w:val="none"/>
          <w:lang w:val="en-US" w:eastAsia="zh-CN"/>
        </w:rPr>
      </w:pPr>
    </w:p>
    <w:sectPr>
      <w:footerReference r:id="rId3" w:type="default"/>
      <w:pgSz w:w="16838" w:h="11906" w:orient="landscape"/>
      <w:pgMar w:top="1587" w:right="1871" w:bottom="1531" w:left="1531" w:header="851" w:footer="992" w:gutter="0"/>
      <w:pgBorders>
        <w:top w:val="none" w:sz="0" w:space="0"/>
        <w:left w:val="none" w:sz="0" w:space="0"/>
        <w:bottom w:val="none" w:sz="0" w:space="0"/>
        <w:right w:val="none" w:sz="0" w:space="0"/>
      </w:pgBorders>
      <w:pgNumType w:fmt="decimal"/>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 xml:space="preserve"> —</w:t>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74A54"/>
    <w:multiLevelType w:val="multilevel"/>
    <w:tmpl w:val="0E574A54"/>
    <w:lvl w:ilvl="0" w:tentative="0">
      <w:start w:val="1"/>
      <w:numFmt w:val="japaneseCounting"/>
      <w:pStyle w:val="9"/>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jk3YmJlMmE2ZmM0NWNkOTcyMGIzOTQwMjg2NGEifQ=="/>
  </w:docVars>
  <w:rsids>
    <w:rsidRoot w:val="7EBB33C4"/>
    <w:rsid w:val="05D40803"/>
    <w:rsid w:val="09644C54"/>
    <w:rsid w:val="0AF30489"/>
    <w:rsid w:val="10045DEB"/>
    <w:rsid w:val="1B4F6346"/>
    <w:rsid w:val="1C1A570E"/>
    <w:rsid w:val="2A40744E"/>
    <w:rsid w:val="2AAD4BC2"/>
    <w:rsid w:val="2B1A407E"/>
    <w:rsid w:val="2DE22517"/>
    <w:rsid w:val="31135624"/>
    <w:rsid w:val="34B641E7"/>
    <w:rsid w:val="36B36D74"/>
    <w:rsid w:val="38714A5F"/>
    <w:rsid w:val="38A56B07"/>
    <w:rsid w:val="3BF7A83B"/>
    <w:rsid w:val="40C36A94"/>
    <w:rsid w:val="49DF9C96"/>
    <w:rsid w:val="4A0515E0"/>
    <w:rsid w:val="5BFB2C54"/>
    <w:rsid w:val="7B8F2776"/>
    <w:rsid w:val="7BF9616F"/>
    <w:rsid w:val="7C3872F6"/>
    <w:rsid w:val="7EBB33C4"/>
    <w:rsid w:val="7FFFEE4D"/>
    <w:rsid w:val="AFFF7CFF"/>
    <w:rsid w:val="CFF6B77C"/>
    <w:rsid w:val="F5B76CED"/>
    <w:rsid w:val="FDDF7BD6"/>
    <w:rsid w:val="FF7C0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条款节部分"/>
    <w:basedOn w:val="1"/>
    <w:qFormat/>
    <w:uiPriority w:val="0"/>
    <w:pPr>
      <w:numPr>
        <w:ilvl w:val="0"/>
        <w:numId w:val="1"/>
      </w:numPr>
    </w:pPr>
    <w:rPr>
      <w:rFonts w:ascii="Times New Roman" w:hAnsi="Times New Roman" w:eastAsia="仿宋_GB2312" w:cs="Times New Roman"/>
      <w:sz w:val="32"/>
      <w:szCs w:val="32"/>
    </w:rPr>
  </w:style>
  <w:style w:type="character" w:customStyle="1" w:styleId="10">
    <w:name w:val="font01"/>
    <w:qFormat/>
    <w:uiPriority w:val="0"/>
    <w:rPr>
      <w:rFonts w:ascii="黑体" w:hAnsi="宋体" w:eastAsia="黑体" w:cs="黑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49;&#29992;&#35780;&#20215;\2.&#12298;&#28246;&#21335;&#30465;&#25307;&#26631;&#20195;&#29702;&#26426;&#26500;&#21450;&#20174;&#19994;&#20154;&#21592;&#30417;&#30563;&#31649;&#29702;&#21150;&#27861;&#12299;&#20462;&#35746;&#23545;&#29031;&#349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2.《湖南省招标代理机构及从业人员监督管理办法》修订对照表.dotx</Template>
  <Pages>6</Pages>
  <Words>5771</Words>
  <Characters>5788</Characters>
  <Lines>0</Lines>
  <Paragraphs>0</Paragraphs>
  <TotalTime>20</TotalTime>
  <ScaleCrop>false</ScaleCrop>
  <LinksUpToDate>false</LinksUpToDate>
  <CharactersWithSpaces>5898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2022-10-26T01:28:00Z</dcterms:created>
  <dc:creator>小耳朵图图</dc:creator>
  <cp:lastModifiedBy>小耳朵图图</cp:lastModifiedBy>
  <dcterms:modified xsi:type="dcterms:W3CDTF">2022-10-26T01:28:34Z</dcterms:modified>
  <dc:title>办 文 说 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B52B333A5BD84427978B470519D08227</vt:lpwstr>
  </property>
</Properties>
</file>